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Notification d'un acte administratif. LRAR. Date de présentation à l'intéressé (même en cas de refus)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La preuve de la date de la publication ou de la notification d'un acte incombe à l'administration. S’agissant de la notification, l’envoi par lettre recommandée avec un accusé de réception est souvent exigé par les textes. Cette méthode garantit la remise de la décision à son destinataire et procure, grâce à l'avis de réception retourné à l'expéditeur, une preuve de la notification. Dans cette hypothèse, la date effective de notification est alors celle de la présentation à l'intéressé du courrier, même dans le cas où il est refusé par ce dernier (</w:t>
      </w:r>
    </w:p>
    <w:p>
      <w:pPr/>
      <w:r>
        <w:rPr>
          <w:i w:val="1"/>
          <w:iCs w:val="1"/>
        </w:rPr>
        <w:t xml:space="preserve">JO </w:t>
      </w:r>
    </w:p>
    <w:p>
      <w:pPr/>
      <w:r>
        <w:rPr/>
        <w:t xml:space="preserve">Sénat, 01.07.2021, question n° 18805, p. 4103).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2026-08-15T22:29:07+02:00</dcterms:created>
  <dcterms:modified xsi:type="dcterms:W3CDTF">2026-08-15T22:29:07+02:00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