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d'un arrêté de police du maire. Verbalisation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L'infraction de violation d'une interdiction ou manquement à une obligation édictée par décret ou arrêté de police pour assurer la tranquillité, la sécurité ou la salubrité publiques, réprimée d'une contravention de la 1</w:t>
      </w:r>
    </w:p>
    <w:p>
      <w:pPr/>
      <w:r>
        <w:rPr>
          <w:vertAlign w:val="superscript"/>
        </w:rPr>
        <w:t xml:space="preserve">re</w:t>
      </w:r>
    </w:p>
    <w:p>
      <w:pPr/>
      <w:r>
        <w:rPr/>
        <w:t xml:space="preserve"> classe au sens de l'article R 610-5 du code pénal, ne figure pas dans la liste des infractions forfaitisables prévue par l'article R 48-1 du code de procédure pénale. Cette infraction ne peut donc faire l'objet d'une verbalisation par procès-verbal électronique auquel aurait accès la police municipale localement compétente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22.07.2021, question n° 21660, p. 4627).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2025-12-19T12:40:18+01:00</dcterms:created>
  <dcterms:modified xsi:type="dcterms:W3CDTF">2025-12-19T12:40:18+01:00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