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Violation d'un arrêté de police du maire. Verbalisation électronique (non)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L'infraction de violation d'une interdiction ou manquement à une obligation édictée par décret ou arrêté de police pour assurer la tranquillité, la sécurité ou la salubrité publiques, réprimée d'une contravention de la 1</w:t>
      </w:r>
    </w:p>
    <w:p>
      <w:pPr/>
      <w:r>
        <w:rPr>
          <w:vertAlign w:val="superscript"/>
        </w:rPr>
        <w:t xml:space="preserve">re</w:t>
      </w:r>
    </w:p>
    <w:p>
      <w:pPr/>
      <w:r>
        <w:rPr/>
        <w:t xml:space="preserve"> classe au sens de l'article R 610-5 du code pénal, ne figure pas dans la liste des infractions forfaitisables prévue par l'article R 48-1 du code de procédure pénale. Cette infraction ne peut donc faire l'objet d'une verbalisation par procès-verbal électronique auquel aurait accès la police municipale localement compétente (</w:t>
      </w:r>
    </w:p>
    <w:p>
      <w:pPr/>
      <w:r>
        <w:rPr>
          <w:i w:val="1"/>
          <w:iCs w:val="1"/>
        </w:rPr>
        <w:t xml:space="preserve">JO </w:t>
      </w:r>
    </w:p>
    <w:p>
      <w:pPr/>
      <w:r>
        <w:rPr/>
        <w:t xml:space="preserve">Sénat, 22.07.2021, question n° 21660, p. 4627).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2026-09-30T19:01:49+02:00</dcterms:created>
  <dcterms:modified xsi:type="dcterms:W3CDTF">2026-09-30T19:01:49+02:00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