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public. Prix sans mention de la TVA. Présomption de prix TTC. Application dans un litige de nature contractuelle</w:t>
      </w:r>
    </w:p>
    <w:p>
      <w:pPr>
        <w:pStyle w:val="Heading2"/>
      </w:pPr>
      <w:r>
        <w:rPr/>
        <w:t xml:space="preserve">Revue - Marchés Publics</w:t>
      </w:r>
    </w:p>
    <w:p>
      <w:pPr>
        <w:pStyle w:val="Heading3"/>
      </w:pPr>
      <w:r>
        <w:rPr/>
        <w:t xml:space="preserve">Source - Jurisprudence</w:t>
      </w:r>
    </w:p>
    <w:p/>
    <w:p>
      <w:pPr/>
      <w:r>
        <w:rPr/>
        <w:t xml:space="preserve"> Faute de mention contraire, le prix indiqué dans un marché sera  présumé être TTC. Ce principe est d’application large (y compris aux  clauses d’intéressement), et ce, pour tout litige contractuel en  résultant (CE, 29 juin 2021, </w:t>
      </w:r>
    </w:p>
    <w:p>
      <w:pPr/>
      <w:r>
        <w:rPr>
          <w:i w:val="1"/>
          <w:iCs w:val="1"/>
        </w:rPr>
        <w:t xml:space="preserve">SOMUPI</w:t>
      </w:r>
    </w:p>
    <w:p>
      <w:pPr/>
      <w:r>
        <w:rPr/>
        <w:t xml:space="preserve">, n° 442506).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2026-09-30T05:56:37+02:00</dcterms:created>
  <dcterms:modified xsi:type="dcterms:W3CDTF">2026-09-30T05:56:37+02:00</dcterms:modified>
</cp:coreProperties>
</file>

<file path=docProps/custom.xml><?xml version="1.0" encoding="utf-8"?>
<Properties xmlns="http://schemas.openxmlformats.org/officeDocument/2006/custom-properties" xmlns:vt="http://schemas.openxmlformats.org/officeDocument/2006/docPropsVTypes"/>
</file>