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 aménagée pour la baignade. Non-surveillance. Responsabilité de la commune</w:t>
      </w:r>
    </w:p>
    <w:p>
      <w:pPr>
        <w:pStyle w:val="Heading2"/>
      </w:pPr>
      <w:r>
        <w:rPr/>
        <w:t xml:space="preserve">Revue - Pouvoirs de police et sécurité</w:t>
      </w:r>
    </w:p>
    <w:p>
      <w:pPr>
        <w:pStyle w:val="Heading3"/>
      </w:pPr>
      <w:r>
        <w:rPr/>
        <w:t xml:space="preserve">Source - JO AN - JO Sénat</w:t>
      </w:r>
    </w:p>
    <w:p/>
    <w:p>
      <w:pPr/>
      <w:r>
        <w:rPr/>
        <w:t xml:space="preserve"> S'agissant des zones de baignade aménagées par les communes, la jurisprudence administrative considère traditionnellement « qu'il incombe aux communes (…) d'une part de prendre les mesures appropriées en vue d'assurer la sécurité des usagers et plus particulièrement des baigneurs et, d'autre part, de signaler spécialement les dangers excédants ceux contre lesquels les intéressés doivent personnellement, par leur prudence, se prémunir » (CE, 14 octobre 1977, </w:t>
      </w:r>
    </w:p>
    <w:p>
      <w:pPr/>
      <w:hyperlink r:id="rId7" w:history="1">
        <w:r>
          <w:rPr/>
          <w:t xml:space="preserve">commune de Catus</w:t>
        </w:r>
      </w:hyperlink>
    </w:p>
    <w:p>
      <w:pPr/>
      <w:r>
        <w:rPr/>
        <w:t xml:space="preserve">, n° 01404). La mise en place par une commune d'une zone de baignade ouverte au public, aménagée et autorisée, nécessite donc que le maire prenne toutes mesures appropriées en vue d'assurer la sécurité des usagers, parmi lesquelles le signalement des dangers au public et l'organisation d'une surveillance par du personnel qualifié, titulaires d'un diplôme de maître-nageur sauveteur. Cette surveillance peut également être assurée par des sapeurs-pompiers volontaires en application de l'article 1</w:t>
      </w:r>
    </w:p>
    <w:p>
      <w:pPr/>
      <w:r>
        <w:rPr>
          <w:vertAlign w:val="superscript"/>
        </w:rPr>
        <w:t xml:space="preserve">er</w:t>
      </w:r>
    </w:p>
    <w:p>
      <w:pPr/>
      <w:r>
        <w:rPr/>
        <w:t xml:space="preserve"> de l'arrêté du 6 avril 1998 relatif aux sapeurs-pompiers volontaires recrutés pour la surveillance des baignades et des activités nautiques. Ainsi, en application de ces dispositions, une commune ne peut s'abstenir d'organiser la surveillance d'une zone de baignade qu'elle a mise en place. En cas d'insuffisance des mesures de prévention et de sauvetage prescrits ou d'une faute commise dans l'exécution desdites mesures, la responsabilité de la commune est susceptible d'être engagée (CAA Nantes, 29 décembre 1990, </w:t>
      </w:r>
    </w:p>
    <w:p>
      <w:pPr/>
      <w:hyperlink r:id="rId8" w:history="1">
        <w:r>
          <w:rPr/>
          <w:t xml:space="preserve">Boisaubert</w:t>
        </w:r>
      </w:hyperlink>
    </w:p>
    <w:p>
      <w:pPr/>
      <w:r>
        <w:rPr/>
        <w:t xml:space="preserve">, n° 89NT00423) (</w:t>
      </w:r>
    </w:p>
    <w:p>
      <w:pPr/>
      <w:r>
        <w:rPr>
          <w:i w:val="1"/>
          <w:iCs w:val="1"/>
        </w:rPr>
        <w:t xml:space="preserve">JO </w:t>
      </w:r>
    </w:p>
    <w:p>
      <w:pPr/>
      <w:r>
        <w:rPr/>
        <w:t xml:space="preserve">Sénat, 10.06.2021, question n° 19371, p. 3689).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61147" TargetMode="External"/><Relationship Id="rId8" Type="http://schemas.openxmlformats.org/officeDocument/2006/relationships/hyperlink" Target="https://www.legifrance.gouv.fr/ceta/id/CETATEXT00000751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2026-02-14T06:44:17+01:00</dcterms:created>
  <dcterms:modified xsi:type="dcterms:W3CDTF">2026-02-14T06:44:17+01:00</dcterms:modified>
</cp:coreProperties>
</file>

<file path=docProps/custom.xml><?xml version="1.0" encoding="utf-8"?>
<Properties xmlns="http://schemas.openxmlformats.org/officeDocument/2006/custom-properties" xmlns:vt="http://schemas.openxmlformats.org/officeDocument/2006/docPropsVTypes"/>
</file>