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Péril imminent. Frais et honoraires d’expertise. Prise en charge en cas de réalisation des mesures prescrites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propriétaire de l'immeuble a réalisé les mesures prescrites par l'arrêté de péril imminent, la collectivité n’a pas à procéder au recouvrement des sommes correspondant aux frais d'expertise et elle les supporte donc définitivement (CAA Nantes, 26 mars 2021, </w:t>
      </w:r>
    </w:p>
    <w:p>
      <w:pPr/>
      <w:r>
        <w:rPr>
          <w:i w:val="1"/>
          <w:iCs w:val="1"/>
        </w:rPr>
        <w:t xml:space="preserve">Nantes Métropole</w:t>
      </w:r>
    </w:p>
    <w:p>
      <w:pPr/>
      <w:r>
        <w:rPr/>
        <w:t xml:space="preserve">, n° 20NT01272).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2026-05-16T07:16:54+02:00</dcterms:created>
  <dcterms:modified xsi:type="dcterms:W3CDTF">2026-05-16T07:16:54+02:00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