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Péril imminent. Frais et honoraires d’expertise. Prise en charge en cas de réalisation des mesures prescrites</w:t>
      </w:r>
    </w:p>
    <w:p>
      <w:pPr>
        <w:pStyle w:val="Heading2"/>
      </w:pPr>
      <w:r>
        <w:rPr/>
        <w:t xml:space="preserve">Revue - Pouvoirs de police et sécurité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 Si le propriétaire de l'immeuble a réalisé les mesures prescrites par l'arrêté de péril imminent, la collectivité n’a pas à procéder au recouvrement des sommes correspondant aux frais d'expertise et elle les supporte donc définitivement (CAA Nantes, 26 mars 2021, </w:t>
      </w:r>
    </w:p>
    <w:p>
      <w:pPr/>
      <w:r>
        <w:rPr>
          <w:i w:val="1"/>
          <w:iCs w:val="1"/>
        </w:rPr>
        <w:t xml:space="preserve">Nantes Métropole</w:t>
      </w:r>
    </w:p>
    <w:p>
      <w:pPr/>
      <w:r>
        <w:rPr/>
        <w:t xml:space="preserve">, n° 20NT01272).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2026-08-17T04:28:59+02:00</dcterms:created>
  <dcterms:modified xsi:type="dcterms:W3CDTF">2026-08-17T04:28:59+02:00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