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Péril imminent. Frais et honoraires d’expertise. Prise en charge en cas de réalisation des mesures prescrites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Si le propriétaire de l'immeuble a réalisé les mesures prescrites par l'arrêté de péril imminent, la collectivité n’a pas à procéder au recouvrement des sommes correspondant aux frais d'expertise et elle les supporte donc définitivement (CAA Nantes, 26 mars 2021, </w:t>
      </w:r>
    </w:p>
    <w:p>
      <w:pPr/>
      <w:r>
        <w:rPr>
          <w:i w:val="1"/>
          <w:iCs w:val="1"/>
        </w:rPr>
        <w:t xml:space="preserve">Nantes Métropole</w:t>
      </w:r>
    </w:p>
    <w:p>
      <w:pPr/>
      <w:r>
        <w:rPr/>
        <w:t xml:space="preserve">, n° 20NT01272).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2026-10-01T06:17:52+02:00</dcterms:created>
  <dcterms:modified xsi:type="dcterms:W3CDTF">2026-10-01T06:17:52+02:00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