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Radiation des cadres pour abandon de poste. Absence de mise en demeure. Procédure irrégulière. Indemnisation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dont la radiation des cadres a été annulée par le tribunal administratif par jugement devenu définitif, et qui a été réintégré par sa collectivité, demande une indemnisation. 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Une mesure de radiation des cadres pour abandon de poste ne peut être régulièrement prononcée que si l'agent concerné a, préalablement à cette décision, été mis en demeure de rejoindre son poste ou de reprendre son service dans un délai qu'il appartient à l'administration de fixer. </w:t>
      </w:r>
    </w:p>
    <w:p>
      <w:pPr/>
      <w:r>
        <w:rPr>
          <w:b w:val="1"/>
          <w:bCs w:val="1"/>
        </w:rPr>
        <w:t xml:space="preserve">2. </w:t>
      </w:r>
    </w:p>
    <w:p>
      <w:pPr/>
      <w:r>
        <w:rPr/>
        <w:t xml:space="preserve">En l’absence de cette mise en demeure, l’illégalité de l’arrêté de radiation n'est cependant de nature à justifier une indemnisation que si cette faute a été à l'origine d'un préjudice direct et certain.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 En l’espèce, l’agent a été placé en arrêt de maladie et a transmis un arrêt de travail de prolongation. La commune a alors décidé de le soumettre à une contre-visite médicale en lui indiquant par courrier qu'il encourait une radiation des cadres s'il ne réintégrait pas ses fonctions en cas d'avis du médecin agréé favorable à la reprise du travail. A l'issue de cette visite, le médecin a conclu que l’agent était apte à la reprise du travail à compter du même jour. Dans ces circonstances, en ne rejoignant pas son poste et en ne faisant état d'aucun obstacle l'empêchant de le rejoindre, l’agent est lui-même à l'origine du préjudice qu'il allègue. En conséquence, il n'est pas fondé à en demander l'indemnisation par la commune (CAA Nancy, 4 février 2021, </w:t>
      </w:r>
    </w:p>
    <w:p>
      <w:pPr/>
      <w:r>
        <w:rPr>
          <w:i w:val="1"/>
          <w:iCs w:val="1"/>
        </w:rPr>
        <w:t xml:space="preserve">M. A.</w:t>
      </w:r>
    </w:p>
    <w:p>
      <w:pPr/>
      <w:r>
        <w:rPr/>
        <w:t xml:space="preserve">, n° 18NC03251).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2026-04-03T10:48:00+02:00</dcterms:created>
  <dcterms:modified xsi:type="dcterms:W3CDTF">2026-04-03T10:48:00+02:00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