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Marchés publics. Nouveaux CCAG au 1er avril 2021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Plusieurs arrêtés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avril 2021 approuvent les nouveaux cahiers des clauses administratives générales. Ils s'appliquent aux marchés publics pour lesquels une consultation est engagée ou un avis d'appel à la concurrence envoyé à la publication à compter de cette date. Toutefois, jusqu'au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octobre 2021, les acheteurs publics peuvent faire référence aux anciens cahiers des clauses administratives générales Ces documents fixent les conditions d'exécution de nature administrative applicables à ces catégories de marchés publics. Leur utilisation n'est pas obligatoire ; ils ne s'appliquent qu'aux marchés publics qui s'y réfèrent expressément et il est possible de s'y référer tout en dérogeant à certaines de ses clauses dans les documents particuliers du marché. </w:t>
      </w:r>
    </w:p>
    <w:p>
      <w:pPr>
        <w:numPr>
          <w:ilvl w:val="0"/>
          <w:numId w:val="4"/>
        </w:numPr>
      </w:pPr>
      <w:hyperlink r:id="rId7" w:history="1">
        <w:r>
          <w:rPr>
            <w:i w:val="1"/>
            <w:iCs w:val="1"/>
          </w:rPr>
          <w:t xml:space="preserve">CCAG - Marchés publics de fournitures courantes et de services</w:t>
        </w:r>
      </w:hyperlink>
    </w:p>
    <w:p>
      <w:pPr>
        <w:numPr>
          <w:ilvl w:val="0"/>
          <w:numId w:val="4"/>
        </w:numPr>
      </w:pPr>
      <w:hyperlink r:id="rId8" w:history="1">
        <w:r>
          <w:rPr>
            <w:i w:val="1"/>
            <w:iCs w:val="1"/>
          </w:rPr>
          <w:t xml:space="preserve"> CCAG - Marchés publics de travaux</w:t>
        </w:r>
      </w:hyperlink>
    </w:p>
    <w:p>
      <w:pPr>
        <w:numPr>
          <w:ilvl w:val="0"/>
          <w:numId w:val="4"/>
        </w:numPr>
      </w:pPr>
      <w:hyperlink r:id="rId9" w:history="1">
        <w:r>
          <w:rPr>
            <w:i w:val="1"/>
            <w:iCs w:val="1"/>
          </w:rPr>
          <w:t xml:space="preserve">CCAG - Marchés publics de prestations intellectuelles</w:t>
        </w:r>
      </w:hyperlink>
    </w:p>
    <w:p>
      <w:pPr>
        <w:numPr>
          <w:ilvl w:val="0"/>
          <w:numId w:val="4"/>
        </w:numPr>
      </w:pPr>
      <w:hyperlink r:id="rId10" w:history="1">
        <w:r>
          <w:rPr>
            <w:i w:val="1"/>
            <w:iCs w:val="1"/>
          </w:rPr>
          <w:t xml:space="preserve">CCAG - Marchés publics de techniques de l'information et de la communication</w:t>
        </w:r>
      </w:hyperlink>
    </w:p>
    <w:p>
      <w:pPr>
        <w:numPr>
          <w:ilvl w:val="0"/>
          <w:numId w:val="4"/>
        </w:numPr>
      </w:pPr>
      <w:hyperlink r:id="rId11" w:history="1">
        <w:r>
          <w:rPr>
            <w:i w:val="1"/>
            <w:iCs w:val="1"/>
          </w:rPr>
          <w:t xml:space="preserve">CCAG - Marchés publics de maîtrise d'œuvre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8C68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eli/arrete/2021/3/30/ECOM2106868A/jo/article_snum1" TargetMode="External"/><Relationship Id="rId8" Type="http://schemas.openxmlformats.org/officeDocument/2006/relationships/hyperlink" Target="https://www.legifrance.gouv.fr/eli/arrete/2021/3/30/ECOM2106871A/jo/article_snum1" TargetMode="External"/><Relationship Id="rId9" Type="http://schemas.openxmlformats.org/officeDocument/2006/relationships/hyperlink" Target="https://www.legifrance.gouv.fr/jorf/article_jo/JORFARTI000043310623" TargetMode="External"/><Relationship Id="rId10" Type="http://schemas.openxmlformats.org/officeDocument/2006/relationships/hyperlink" Target="https://www.legifrance.gouv.fr/eli/arrete/2021/3/30/ECOM2106875A/jo/article_snum1" TargetMode="External"/><Relationship Id="rId11" Type="http://schemas.openxmlformats.org/officeDocument/2006/relationships/hyperlink" Target="https://www.legifrance.gouv.fr/eli/arrete/2021/3/30/ECOM2106877A/jo/article_snum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2026-10-01T08:06:54+02:00</dcterms:created>
  <dcterms:modified xsi:type="dcterms:W3CDTF">2026-10-01T08:06:54+02:00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