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2021. Note d’information relative aux informations fiscales</w:t>
      </w:r>
    </w:p>
    <w:p>
      <w:pPr>
        <w:pStyle w:val="Heading2"/>
      </w:pPr>
      <w:r>
        <w:rPr/>
        <w:t xml:space="preserve">Revue - Vie Communale</w:t>
      </w:r>
    </w:p>
    <w:p>
      <w:pPr>
        <w:pStyle w:val="Heading3"/>
      </w:pPr>
      <w:r>
        <w:rPr/>
        <w:t xml:space="preserve">Source - Circulaire</w:t>
      </w:r>
    </w:p>
    <w:p/>
    <w:p>
      <w:pPr/>
      <w:r>
        <w:rPr/>
        <w:t xml:space="preserve"> Une note d’information du 12 mars 2021 est relative aux informations fiscales utiles à la préparation des budgets primitifs locaux pour 2021. Cette note se compose de deux annexes qui présentent, d'une part, la baisse des impôts de production et la refonte de la fiscalité locale liée à la suppression de la taxe d’habitation sur les résidences principales et, d'autre part, les autres dispositions afférentes à la fiscalité locale prévues par la loi de finances pour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2026-02-14T11:39:08+01:00</dcterms:created>
  <dcterms:modified xsi:type="dcterms:W3CDTF">2026-02-14T11:39:08+01:00</dcterms:modified>
</cp:coreProperties>
</file>

<file path=docProps/custom.xml><?xml version="1.0" encoding="utf-8"?>
<Properties xmlns="http://schemas.openxmlformats.org/officeDocument/2006/custom-properties" xmlns:vt="http://schemas.openxmlformats.org/officeDocument/2006/docPropsVTypes"/>
</file>