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Covid-19. Interdiction temporaire des locations saisonnières. Pouvoir du maire (non)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Le juge des référés du Conseil d’État juge que, en l’absence de raison impérieuse liée à des circonstances locales particulières, l’interdiction par le maire des locations saisonnières du 6 au 20 février 2021 porte une atteinte grave et manifestement illégale au droit de propriété et à la liberté du commerce et de l’industrie (CE, 16 février 2021, </w:t>
      </w:r>
    </w:p>
    <w:p>
      <w:pPr/>
      <w:r>
        <w:rPr>
          <w:i w:val="1"/>
          <w:iCs w:val="1"/>
        </w:rPr>
        <w:t xml:space="preserve">Union des professionnels de la location touristique (UPLT)</w:t>
      </w:r>
    </w:p>
    <w:p>
      <w:pPr/>
      <w:r>
        <w:rPr/>
        <w:t xml:space="preserve">, n° 449605).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2026-09-30T08:02:18+02:00</dcterms:created>
  <dcterms:modified xsi:type="dcterms:W3CDTF">2026-09-30T08:02:18+02:00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