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Taxes communales funéraires (convois, inhumations et crémations). Suppression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121 de la loi n° 2020-1721 du 29 décembre 2020 de finances pour 2021 a abrogé,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2021, </w:t>
      </w:r>
    </w:p>
    <w:p>
      <w:pPr/>
      <w:hyperlink r:id="rId7" w:history="1">
        <w:r>
          <w:rPr/>
          <w:t xml:space="preserve">l'article L 2223-22</w:t>
        </w:r>
      </w:hyperlink>
    </w:p>
    <w:p>
      <w:pPr/>
      <w:r>
        <w:rPr/>
        <w:t xml:space="preserve"> du CGCT. Ce dernier prévoyait la possibilité pour la commune de créer des taxes pour les convois, les inhumations et les crémations, dont les tarifs étaient votés par le conseil municipal.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90298&amp;cidTexte=LEGITEXT000006070633&amp;dateTexte=20190405&amp;oldAction=rechCodeArticle&amp;fastReqId=266290666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2025-12-19T17:13:02+01:00</dcterms:created>
  <dcterms:modified xsi:type="dcterms:W3CDTF">2025-12-19T17:13:02+01:00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