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Syndicats mixtes. Réunion en téléconférence (non)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L’ensemble des EPCI à fiscalité propre peut désormais se réunir par téléconférence. Il n'en va pas de même concernant les syndicats mixtes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Sénat,</w:t>
      </w:r>
    </w:p>
    <w:p>
      <w:pPr/>
      <w:r>
        <w:rPr>
          <w:i w:val="1"/>
          <w:iCs w:val="1"/>
        </w:rPr>
        <w:t xml:space="preserve"> </w:t>
      </w:r>
    </w:p>
    <w:p>
      <w:pPr/>
      <w:r>
        <w:rPr/>
        <w:t xml:space="preserve">10.12.2020, question n° 18470, p. 5895).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2026-02-14T06:22:56+01:00</dcterms:created>
  <dcterms:modified xsi:type="dcterms:W3CDTF">2026-02-14T06:22:56+01:00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