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Révision annuelle des valeurs forfaitaires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30 décembre 2020 porte révision annuelle des valeurs forfaitaires par mètre carré de surface de construction constituant l'assiette de la taxe d'aménagement.</w:t>
      </w:r>
    </w:p>
    <w:p/>
    <w:p/>
    <w:p/>
    <w:p>
      <w:pPr/>
      <w:r>
        <w:rPr/>
        <w:t xml:space="preserve"> </w:t>
      </w:r>
    </w:p>
    <w:tbl>
      <w:tblGrid>
        <w:gridCol w:w="140" w:type="dxa"/>
        <w:gridCol w:w="100" w:type="dxa"/>
        <w:gridCol w:w="60" w:type="dxa"/>
        <w:gridCol w:w="120" w:type="dxa"/>
      </w:tblGrid>
      <w:tblPr>
        <w:tblW w:w="0" w:type="auto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/>
            <w:r>
              <w:rPr/>
              <w:t xml:space="preserve"> </w:t>
            </w:r>
          </w:p>
        </w:tc>
        <w:tc>
          <w:tcPr>
            <w:tcW w:w="1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b w:val="1"/>
                <w:bCs w:val="1"/>
              </w:rPr>
              <w:t xml:space="preserve">Hors Ile-de-France</w:t>
            </w:r>
            <w:br/>
            <w:br/>
          </w:p>
        </w:tc>
        <w:tc>
          <w:tcPr>
            <w:tcW w:w="6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b w:val="1"/>
                <w:bCs w:val="1"/>
              </w:rPr>
              <w:t xml:space="preserve">Ile-de-France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b w:val="1"/>
                <w:bCs w:val="1"/>
              </w:rPr>
              <w:t xml:space="preserve">Indices</w:t>
            </w:r>
          </w:p>
        </w:tc>
      </w:tr>
      <w:tr>
        <w:trPr/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Rappel de la valeur 2011</w:t>
            </w:r>
            <w:br/>
            <w:br/>
          </w:p>
        </w:tc>
        <w:tc>
          <w:tcPr>
            <w:tcW w:w="1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660 €</w:t>
            </w:r>
          </w:p>
        </w:tc>
        <w:tc>
          <w:tcPr>
            <w:tcW w:w="6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748 €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1 517</w:t>
            </w:r>
          </w:p>
        </w:tc>
      </w:tr>
      <w:tr>
        <w:trPr/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Valeur 2021 </w:t>
            </w:r>
            <w:br/>
            <w:r>
              <w:rPr/>
              <w:t xml:space="preserve">(arrondie à l'euro inférieur)</w:t>
            </w:r>
            <w:br/>
            <w:br/>
          </w:p>
        </w:tc>
        <w:tc>
          <w:tcPr>
            <w:tcW w:w="1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767 €</w:t>
            </w:r>
          </w:p>
        </w:tc>
        <w:tc>
          <w:tcPr>
            <w:tcW w:w="6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870 €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1765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2026-08-16T07:03:34+02:00</dcterms:created>
  <dcterms:modified xsi:type="dcterms:W3CDTF">2026-08-16T07:03:34+02:00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