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Révision annuelle des valeurs forfaitaires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décembre 2020 porte révision annuelle des valeurs forfaitaires par mètre carré de surface de construction constituant l'assiette de la taxe d'aménagement.</w:t>
      </w:r>
    </w:p>
    <w:p/>
    <w:p/>
    <w:p/>
    <w:p>
      <w:pPr/>
      <w:r>
        <w:rPr/>
        <w:t xml:space="preserve"> </w:t>
      </w:r>
    </w:p>
    <w:tbl>
      <w:tblGrid>
        <w:gridCol w:w="140" w:type="dxa"/>
        <w:gridCol w:w="100" w:type="dxa"/>
        <w:gridCol w:w="60" w:type="dxa"/>
        <w:gridCol w:w="12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Ile-de-France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Rappel de la valeur 2011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660 €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748 €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1 517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Valeur 2021 </w:t>
            </w:r>
            <w:br/>
            <w:r>
              <w:rPr/>
              <w:t xml:space="preserve">(arrondie à l'euro inférieur)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767 €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870 €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1765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2026-04-01T05:05:13+02:00</dcterms:created>
  <dcterms:modified xsi:type="dcterms:W3CDTF">2026-04-01T05:05:13+02:00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