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d'accélération et de simplification de l'action publique (ASAP) : seuil de dispense de procédure pour les marchés de travaux (100 000 €) et circonstances exceptionnelles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2020-1525 du 7 décembre 2020 d'accélération et de simplification de l'action publique comporte des dispositions qui concernent les collectivités locales.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</w:t>
      </w:r>
    </w:p>
    <w:p>
      <w:pPr/>
      <w:hyperlink r:id="rId7" w:history="1">
        <w:r>
          <w:rPr/>
          <w:t xml:space="preserve">L'article 132</w:t>
        </w:r>
      </w:hyperlink>
    </w:p>
    <w:p>
      <w:pPr/>
      <w:r>
        <w:rPr/>
        <w:t xml:space="preserve"> assouplit les règles de la commande publique en cas de circonstances exceptionnelles ainsi que pour les PME (art. L 2711-1 et s. du code de la commande publique). De plus, </w:t>
      </w:r>
    </w:p>
    <w:p>
      <w:pPr/>
      <w:hyperlink r:id="rId8" w:history="1">
        <w:r>
          <w:rPr/>
          <w:t xml:space="preserve">l’article 142</w:t>
        </w:r>
      </w:hyperlink>
    </w:p>
    <w:p>
      <w:pPr/>
      <w:r>
        <w:rPr/>
        <w:t xml:space="preserve"> de la loi prévoit que, jusqu'à fin 2022, le seuil de dispense de publicité et de mise en concurrence pour la conclusion des marchés de travaux est relevé à 100 000 €.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D’autre part, certaines démarches administratives sont simplifiées pour les citoyens comme la dispense d'un justificatif de domicile pour l’obtention des cartes d’identité ou des passeports (</w:t>
      </w:r>
    </w:p>
    <w:p>
      <w:pPr/>
      <w:hyperlink r:id="rId9" w:history="1">
        <w:r>
          <w:rPr/>
          <w:t xml:space="preserve">art. 67</w:t>
        </w:r>
      </w:hyperlink>
    </w:p>
    <w:p>
      <w:pPr/>
      <w:r>
        <w:rPr/>
        <w:t xml:space="preserve">). Le certificat médical pour la pratique sportive d'un enfant n'est plus exigé. Il est remplacé par une déclaration parentale, sauf pour les sports à risque. Enfin, une meilleure information des maires sur les projets d'installations éoliennes et des procédures simplifiées sur l’éolien en mer est prévue.  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7EE0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0/12/7/ECOX1935404L/jo/article_132" TargetMode="External"/><Relationship Id="rId8" Type="http://schemas.openxmlformats.org/officeDocument/2006/relationships/hyperlink" Target="https://www.legifrance.gouv.fr/jorf/article_jo/JORFARTI000042619993" TargetMode="External"/><Relationship Id="rId9" Type="http://schemas.openxmlformats.org/officeDocument/2006/relationships/hyperlink" Target="https://www.legifrance.gouv.fr/eli/loi/2020/12/7/ECOX1935404L/jo/article_67" TargetMode="External"/><Relationship Id="rId10" Type="http://schemas.openxmlformats.org/officeDocument/2006/relationships/hyperlink" Target="t3://record?identifier=articles&amp;uid=45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2026-07-01T15:07:35+02:00</dcterms:created>
  <dcterms:modified xsi:type="dcterms:W3CDTF">2026-07-01T15:07:35+02:00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