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entaché d'irrégularité. Résiliation unilatérale. Droit à indemnité</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Lorsqu’un contrat est entaché d'une irrégularité d'une gravité telle que, s'il était saisi, le juge du contrat pourrait en prononcer l'annulation ou la résiliation, la personne publique peut, sous réserve de l'exigence de loyauté des relations contractuelles, le résilier unilatéralement. Le Conseil d’État précise le droit à indemnité du cocontractant dans ce cas.  </w:t>
      </w:r>
    </w:p>
    <w:p>
      <w:pPr/>
      <w:r>
        <w:rPr>
          <w:b w:val="1"/>
          <w:bCs w:val="1"/>
        </w:rPr>
        <w:t xml:space="preserve">2.</w:t>
      </w:r>
    </w:p>
    <w:p>
      <w:pPr/>
      <w:r>
        <w:rPr/>
        <w:t xml:space="preserve"> Après une telle résiliation unilatéralement décidée pour ce motif par la personne publique, le cocontractant peut prétendre, sur un terrain quasi-contractuel, pour la période postérieure à la date d'effet de la résiliation, au remboursement de celles de ses dépenses qui ont été utiles à la collectivité envers laquelle il s'était engagé. 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 (CE, 10 juillet 2020, </w:t>
      </w:r>
    </w:p>
    <w:p>
      <w:pPr/>
      <w:r>
        <w:rPr>
          <w:i w:val="1"/>
          <w:iCs w:val="1"/>
        </w:rPr>
        <w:t xml:space="preserve">société Comptoir Négoce Equipements</w:t>
      </w:r>
    </w:p>
    <w:p>
      <w:pPr/>
      <w:r>
        <w:rPr/>
        <w:t xml:space="preserve">, n° 430864).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2026-02-14T06:44:17+01:00</dcterms:created>
  <dcterms:modified xsi:type="dcterms:W3CDTF">2026-02-14T06:44:17+01:00</dcterms:modified>
</cp:coreProperties>
</file>

<file path=docProps/custom.xml><?xml version="1.0" encoding="utf-8"?>
<Properties xmlns="http://schemas.openxmlformats.org/officeDocument/2006/custom-properties" xmlns:vt="http://schemas.openxmlformats.org/officeDocument/2006/docPropsVTypes"/>
</file>