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Prévention et gestion des déchets. Obligations des collectivités</w:t>
      </w:r>
    </w:p>
    <w:p>
      <w:pPr>
        <w:pStyle w:val="Heading2"/>
      </w:pPr>
      <w:r>
        <w:rPr/>
        <w:t xml:space="preserve">Revue - Vie Communale</w:t>
      </w:r>
    </w:p>
    <w:p>
      <w:pPr>
        <w:pStyle w:val="Heading3"/>
      </w:pPr>
      <w:r>
        <w:rPr/>
        <w:t xml:space="preserve">Source - JO</w:t>
      </w:r>
    </w:p>
    <w:p/>
    <w:p>
      <w:pPr/>
      <w:r>
        <w:rPr/>
        <w:t xml:space="preserve"> L’ordonnance n° 2020-920 du 29 juillet 2020 inscrit dans le droit français de nouveaux objectifs de valorisation des déchets ménagers et assimilés, afin d’atteindre 65 % de déchets réutilisés ou recyclés en 2035, et concourt à la lutte contre les pollutions plastiques et les abandons de déchets dans l’environnement. Elle simplifie la sortie du statut de déchet des objets qui sont contrôlés ou réparés pour être réutilisés, permettant ainsi de faciliter la seconde vie des produits. Les collectivités proposeront davantage de collectes séparées de déchets aux ménages afin de développer leur recyclage : sont concernés le papier, le carton, le métal, le plastique et le verre, ainsi que le plâtre, les fractions minérales, le bois, les textiles et les déchets dangereux. Enfin, l’ordonnance interdit la mise en décharge et l’incinération des déchets qui ont fait l’objet d’un tri et d’une collecte sélective et permet qu’une collectivité en charge du traitement des déchets puisse inciter financièrement ses collectivités membres à promouvoir la prévention des déchets et à intensifier la collecte séparée.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2026-07-01T13:36:53+02:00</dcterms:created>
  <dcterms:modified xsi:type="dcterms:W3CDTF">2026-07-01T13:36:53+02:00</dcterms:modified>
</cp:coreProperties>
</file>

<file path=docProps/custom.xml><?xml version="1.0" encoding="utf-8"?>
<Properties xmlns="http://schemas.openxmlformats.org/officeDocument/2006/custom-properties" xmlns:vt="http://schemas.openxmlformats.org/officeDocument/2006/docPropsVTypes"/>
</file>