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Stationnement des voitures sur le trottoir. Autorisation du maire (conditions)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Dans l'exercice des pouvoirs de police qui lui sont confiés en vertu de l'article L 2213-1 et du 2° de l'article L 2213-2 du CGCT, il appartient au maire de prendre les mesures nécessaires pour concilier les droits de l'ensemble des usagers de la voie publique et les contraintes liées, le cas échéant, à la circulation et au stationnement de leurs véhicules.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Si le maire ne saurait légalement, dans l'exercice de ses pouvoirs de police, prendre des mesures contraires au code de la route, les dispositions de l'article R 417-10 de ce code ne font pas obstacle à ce que, lorsque les besoins du stationnement et la configuration de la voie publique le rendent nécessaire, le maire autorise le stationnement de véhicules sur une partie des trottoirs, à condition qu'un passage suffisant soit réservé au cheminement des piétons, notamment de ceux qui sont à mobilité réduite, ainsi qu'à leur accès aux habitations et aux commerces riverains et qu'une signalisation adéquate précise les emplacements autorisés (CE, 8 juillet 2020, </w:t>
      </w:r>
    </w:p>
    <w:p>
      <w:pPr/>
      <w:r>
        <w:rPr>
          <w:i w:val="1"/>
          <w:iCs w:val="1"/>
        </w:rPr>
        <w:t xml:space="preserve">commune d'Olonne-sur-Mer</w:t>
      </w:r>
    </w:p>
    <w:p>
      <w:pPr/>
      <w:r>
        <w:rPr/>
        <w:t xml:space="preserve">, n° 425556).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2026-08-15T23:09:01+02:00</dcterms:created>
  <dcterms:modified xsi:type="dcterms:W3CDTF">2026-08-15T23:09:01+02:00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