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local de publicité intercommunale. Etablissement par les EPCI à compétence PLU</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Jusqu'à la loi n° 2010-788 du 12 juillet 2010 (dite loi Grenelle II), il appartenait en principe aux communes d'élaborer leur règlement local de publicité (RLP) en vertu d'une procédure propre au code de l'environnement. Ce dernier avait également prévu une procédure permettant à plusieurs communes d'élaborer un RLP intercommunal (RLPi) en vue d'établir un projet commun. </w:t>
      </w:r>
    </w:p>
    <w:p>
      <w:pPr/>
      <w:r>
        <w:rPr>
          <w:b w:val="1"/>
          <w:bCs w:val="1"/>
        </w:rPr>
        <w:t xml:space="preserve">2.</w:t>
      </w:r>
    </w:p>
    <w:p>
      <w:pPr/>
      <w:r>
        <w:rPr/>
        <w:t xml:space="preserve"> Avec la loi ENE, le principe est inversé, la compétence en matière de RLP est adossée à la compétence PLU (plan local d'urbanisme) et la procédure d'élaboration du RLP est alignée sur celle du PLU. Le principe est désormais d'établir un RLPi lorsque les communes sont membres d'un EPCI à compétence PLU, et notamment lorsqu'elles sont couvertes par un PLUi. </w:t>
      </w:r>
    </w:p>
    <w:p>
      <w:pPr/>
      <w:r>
        <w:rPr>
          <w:b w:val="1"/>
          <w:bCs w:val="1"/>
        </w:rPr>
        <w:t xml:space="preserve">3.</w:t>
      </w:r>
    </w:p>
    <w:p>
      <w:pPr/>
      <w:r>
        <w:rPr/>
        <w:t xml:space="preserve"> Il n'existe pas dans ce cas de compétence subsidiaire de la commune. Par conséquent, le Gouvernement n'envisage pas de confier à une commune membre d'un EPCI compétent en matière de PLU, la possibilité d'élaborer son propre RLP. </w:t>
      </w:r>
    </w:p>
    <w:p>
      <w:pPr/>
      <w:r>
        <w:rPr>
          <w:b w:val="1"/>
          <w:bCs w:val="1"/>
        </w:rPr>
        <w:t xml:space="preserve">4.</w:t>
      </w:r>
    </w:p>
    <w:p>
      <w:pPr/>
      <w:r>
        <w:rPr/>
        <w:t xml:space="preserve"> Cependant, la loi n° 2019-1461 du 27 décembre 2019 (Engagement et proximité) a introduit des dispositions permettant de rendre applicables aux RLP les aménagements prévus en matière de périmètre pour les PLU par le code de l'urbanisme. Dans ce cadre, pendant une période de 5 ans à compter de sa création, une communauté de communes ou d'agglomération issue d'une fusion entre un ou plusieurs EPCI compétents en matière de PLU et un ou plusieurs EPCI ne détenant pas cette compétence peut prescrire la révision d'un RLP existant sans être obligée d'engager l'élaboration d'un RLP couvrant l'ensemble de son périmètre. </w:t>
      </w:r>
    </w:p>
    <w:p>
      <w:pPr/>
      <w:r>
        <w:rPr>
          <w:b w:val="1"/>
          <w:bCs w:val="1"/>
        </w:rPr>
        <w:t xml:space="preserve">5.</w:t>
      </w:r>
    </w:p>
    <w:p>
      <w:pPr/>
      <w:r>
        <w:rPr/>
        <w:t xml:space="preserve"> De même, l'EPCI compétent en matière de PLU peut achever toute procédure d'élaboration ou d'évolution d'un RLP engagée avant la date de sa création, y compris lorsqu'elle est issue d'une fusion ou du transfert de cette compétence (</w:t>
      </w:r>
    </w:p>
    <w:p>
      <w:pPr/>
      <w:r>
        <w:rPr>
          <w:i w:val="1"/>
          <w:iCs w:val="1"/>
        </w:rPr>
        <w:t xml:space="preserve">JO </w:t>
      </w:r>
    </w:p>
    <w:p>
      <w:pPr/>
      <w:r>
        <w:rPr/>
        <w:t xml:space="preserve">AN, 28.04.2020, question n° 24882, p. 3126).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2025-12-19T20:10:22+01:00</dcterms:created>
  <dcterms:modified xsi:type="dcterms:W3CDTF">2025-12-19T20:10:22+01:00</dcterms:modified>
</cp:coreProperties>
</file>

<file path=docProps/custom.xml><?xml version="1.0" encoding="utf-8"?>
<Properties xmlns="http://schemas.openxmlformats.org/officeDocument/2006/custom-properties" xmlns:vt="http://schemas.openxmlformats.org/officeDocument/2006/docPropsVTypes"/>
</file>