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Adaptation du droit électoral à l'état d'urgence sanitaire : propagande électorale, financement de la campagne, dates de dépôt des candidatures, lieux de vote, vote par procuration et délai d'instruction des contentieux</w:t>
      </w:r>
    </w:p>
    <w:p>
      <w:pPr>
        <w:pStyle w:val="Heading2"/>
      </w:pPr>
      <w:r>
        <w:rPr/>
        <w:t xml:space="preserve">Revue - Vie Communale</w:t>
      </w:r>
    </w:p>
    <w:p>
      <w:pPr>
        <w:pStyle w:val="Heading3"/>
      </w:pPr>
      <w:r>
        <w:rPr/>
        <w:t xml:space="preserve">Source - JO</w:t>
      </w:r>
    </w:p>
    <w:p/>
    <w:p>
      <w:pPr/>
      <w:r>
        <w:rPr/>
        <w:t xml:space="preserve"> Le décret n° 2020-643 du 27 mai 2020 adapte le droit électoral à l'état d'urgence sanitaire lié à l'épidémie de Covid-19.  Il définit ainsi les modalités de remboursement des dépenses de propagande engagées pour le second tour initialement prévu le 22 mars 2020 en précisant le champ des documents éligibles au remboursement. Habilité par la loi à définir un coefficient de majoration du plafond des dépenses électorales consignées dans le compte de campagne, le décret fixe ce coefficient à 1,2. Le décret procède également aux adaptations nécessaires en matière de propagande électorale, de financement de la campagne, de dates de dépôt des candidatures, de lieux de vote, de vote par procuration, et de délai d'instruction des contentieux formés contre les opérations de vote. Il adapte enfin certains délais imposés aux mandataires financiers des partis politiques. </w:t>
      </w:r>
    </w:p>
    <w:p>
      <w:pPr/>
      <w:r>
        <w:rPr>
          <w:b w:val="1"/>
          <w:bCs w:val="1"/>
        </w:rPr>
        <w:t xml:space="preserve">Remboursement des dépenses de propagande.</w:t>
      </w:r>
    </w:p>
    <w:p>
      <w:pPr/>
      <w:r>
        <w:rPr/>
        <w:t xml:space="preserve"> Ouvrent droit à remboursement les documents imprimés et les prestations d'affichage réalisées avant le 16 mars 2020 à minuit en vue du second tour initialement prévu le 22 mars 2020. Toutefois, les documents imprimés avant cette date et finalement utilisés pour le second tour reporté ne peuvent faire l'objet que d'un seul remboursement (art. 1). </w:t>
      </w:r>
    </w:p>
    <w:p>
      <w:pPr/>
      <w:r>
        <w:rPr>
          <w:b w:val="1"/>
          <w:bCs w:val="1"/>
        </w:rPr>
        <w:t xml:space="preserve">Propagande. </w:t>
      </w:r>
    </w:p>
    <w:p>
      <w:pPr/>
      <w:r>
        <w:rPr/>
        <w:t xml:space="preserve">Pour le second tour reporté, les commissions de propagande prévues à l'article R 31 du code électoral sont maintenues en fonction. Toutefois, le préfet peut, en cas de besoin, en instituer de nouvelles au plus tard le deuxième lundi précédant le second tour (art. 2). </w:t>
      </w:r>
    </w:p>
    <w:p>
      <w:pPr/>
      <w:r>
        <w:rPr>
          <w:b w:val="1"/>
          <w:bCs w:val="1"/>
        </w:rPr>
        <w:t xml:space="preserve">Opérations de vote.</w:t>
      </w:r>
    </w:p>
    <w:p>
      <w:pPr/>
      <w:r>
        <w:rPr/>
        <w:t xml:space="preserve"> Pour le second tour reporté, par dérogation au quatrième alinéa de l'article R 44 du code électoral, les assesseurs manquants sont pris parmi les électeurs présents sachant lire et écrire selon l'ordre de priorité suivant : l'électeur le plus jeune, puis le deuxième électeur le plus jeune (art. 5). </w:t>
      </w:r>
    </w:p>
    <w:p>
      <w:pPr/>
      <w:r>
        <w:rPr>
          <w:b w:val="1"/>
          <w:bCs w:val="1"/>
        </w:rPr>
        <w:t xml:space="preserve">Vote par procuration.</w:t>
      </w:r>
    </w:p>
    <w:p>
      <w:pPr/>
      <w:r>
        <w:rPr/>
        <w:t xml:space="preserve"> Les procurations établies en vue du second tour initialement prévu le 22 mars 2020 restent valables pour le second tour reporté (art. 6). </w:t>
      </w:r>
    </w:p>
    <w:p>
      <w:pPr/>
      <w:r>
        <w:rPr>
          <w:b w:val="1"/>
          <w:bCs w:val="1"/>
        </w:rPr>
        <w:t xml:space="preserve">Financement et plafonnement des dépenses électorales.</w:t>
      </w:r>
    </w:p>
    <w:p>
      <w:pPr/>
      <w:r>
        <w:rPr/>
        <w:t xml:space="preserve"> Sont multipliés par le coefficient de 1,2 les montants des plafonds des dépenses électorales prévus pour les listes présentes au second tour des élections des conseillers municipaux et communautaires et des conseillers de Paris à l'article L 52-11 du code électoral (art. 7). Par dérogation au 1° du I de l'article R 39-2-1 du code électoral, les candidats des listes qualifiées pour le second tour à l'issue du premier tour organisé le 15 mars 2020 peuvent contracter auprès de personnes physiques des prêts d'une durée pouvant aller jusqu'à 24 mois. Les prêts déjà contractés peuvent également être prolongés jusqu'à 24 mois (art. 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2026-07-01T14:51:51+02:00</dcterms:created>
  <dcterms:modified xsi:type="dcterms:W3CDTF">2026-07-01T14:51:51+02:00</dcterms:modified>
</cp:coreProperties>
</file>

<file path=docProps/custom.xml><?xml version="1.0" encoding="utf-8"?>
<Properties xmlns="http://schemas.openxmlformats.org/officeDocument/2006/custom-properties" xmlns:vt="http://schemas.openxmlformats.org/officeDocument/2006/docPropsVTypes"/>
</file>