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Gestion du Covid­-19 dans la fonction publique. Communiqué de presse</w:t>
      </w:r>
    </w:p>
    <w:p>
      <w:pPr>
        <w:pStyle w:val="Heading2"/>
      </w:pPr>
      <w:r>
        <w:rPr/>
        <w:t xml:space="preserve">Revue - Fonction Publique Territoriale</w:t>
      </w:r>
    </w:p>
    <w:p>
      <w:pPr>
        <w:pStyle w:val="Heading3"/>
      </w:pPr>
      <w:r>
        <w:rPr/>
        <w:t xml:space="preserve">Source - Informations pratiques</w:t>
      </w:r>
    </w:p>
    <w:p/>
    <w:p>
      <w:pPr/>
      <w:r>
        <w:rPr/>
        <w:t xml:space="preserve"> À la suite des décisions du Premier ministre, samedi 14 mars, et des recommandations sanitaires édictées par le Haut conseil de la santé publique, M. Olivier Dussopt, secrétaire d’État auprès de M. Gérald Darmanin, Ministre de l’Action et des Comptes publics, a réuni les organisations syndicales et les employeurs des trois versants de la fonction publique afin d’adapter les modalités d’organisation du travail permettant d’assurer la mobilisation et la protection des agents publics.   </w:t>
      </w:r>
    </w:p>
    <w:p>
      <w:pPr/>
      <w:r>
        <w:rPr>
          <w:b w:val="1"/>
          <w:bCs w:val="1"/>
        </w:rPr>
        <w:t xml:space="preserve">1. Le télétravail devient la règle impérative pour tous les postes qui le permettent</w:t>
      </w:r>
    </w:p>
    <w:p>
      <w:pPr/>
      <w:r>
        <w:rPr/>
        <w:t xml:space="preserve"> Le moyen le plus efficace pour lutter contre la diffusion du Covid-19 est de limiter les contacts physiques. Chaque employeur public contribue à lutter contre cette diffusion, en mettant systématiquement en place le télétravail, lorsque le poste le permet.</w:t>
      </w:r>
    </w:p>
    <w:p/>
    <w:p>
      <w:pPr/>
      <w:r>
        <w:rPr/>
        <w:t xml:space="preserve"> </w:t>
      </w:r>
    </w:p>
    <w:p/>
    <w:p>
      <w:pPr/>
      <w:r>
        <w:rPr/>
        <w:t xml:space="preserve">En cas d’impossibilité de télétravailler, l’agent est placé par son employeur en autorisation spéciale d’absence (ASA).</w:t>
      </w:r>
    </w:p>
    <w:p/>
    <w:p>
      <w:pPr/>
      <w:r>
        <w:rPr/>
        <w:t xml:space="preserve"> </w:t>
      </w:r>
    </w:p>
    <w:p/>
    <w:p>
      <w:pPr/>
      <w:r>
        <w:rPr/>
        <w:t xml:space="preserve">Seuls les agents publics participant aux plans de continuité de l’activité en présentiel, se rendent effectivement sur leur lieu de travail. </w:t>
      </w:r>
    </w:p>
    <w:p>
      <w:pPr/>
      <w:r>
        <w:rPr>
          <w:b w:val="1"/>
          <w:bCs w:val="1"/>
        </w:rPr>
        <w:t xml:space="preserve">2. Depuis le 15 mars, des plans de continuité de l’activité (PCA) sont mis en place dans chaque ministère et/ou structure publique</w:t>
      </w:r>
    </w:p>
    <w:p>
      <w:pPr/>
      <w:r>
        <w:rPr/>
        <w:t xml:space="preserve"> L’objectif de ces PCA est d’organiser la réaction opérationnelle et d’assurer le maintien des activités indispensables pour les ministères, les services déconcentrés, les collectivités territoriales et les établissements hospitaliers et médico-sociaux.</w:t>
      </w:r>
    </w:p>
    <w:p/>
    <w:p>
      <w:pPr/>
      <w:r>
        <w:rPr/>
        <w:t xml:space="preserve"> </w:t>
      </w:r>
    </w:p>
    <w:p/>
    <w:p>
      <w:pPr/>
      <w:r>
        <w:rPr/>
        <w:t xml:space="preserve">Le PCA détermine les agents devant être impérativement, soit présents physiquement, soit en télétravail actif avec un matériel adapté, que celui-ci soit attribué par le service ou personnel.</w:t>
      </w:r>
    </w:p>
    <w:p/>
    <w:p>
      <w:pPr/>
      <w:r>
        <w:rPr/>
        <w:t xml:space="preserve"> </w:t>
      </w:r>
    </w:p>
    <w:p/>
    <w:p>
      <w:pPr/>
      <w:r>
        <w:rPr/>
        <w:t xml:space="preserve">Dans le contexte de pandémie de Covid-19, certains agents sont exclus d’un travail en présentiel –ces agents ne relèvent pas d’un PCA ou doivent être remplacés. Une liste de 11 critères pathologiques a été définie par le Haut conseil de la santé publique (HCSP), à savoir : </w:t>
      </w:r>
    </w:p>
    <w:p>
      <w:pPr>
        <w:numPr>
          <w:ilvl w:val="0"/>
          <w:numId w:val="4"/>
        </w:numPr>
      </w:pPr>
      <w:r>
        <w:rPr/>
        <w:t xml:space="preserve">les patients présentant une insuffisance rénale chronique dialysée, insuffisance cardiaque à un stade défini ;</w:t>
      </w:r>
    </w:p>
    <w:p>
      <w:pPr>
        <w:numPr>
          <w:ilvl w:val="0"/>
          <w:numId w:val="4"/>
        </w:numPr>
      </w:pPr>
      <w:r>
        <w:rPr/>
        <w:t xml:space="preserve">les malades atteints de cirrhose au stade B au moins ;</w:t>
      </w:r>
    </w:p>
    <w:p>
      <w:pPr>
        <w:numPr>
          <w:ilvl w:val="0"/>
          <w:numId w:val="4"/>
        </w:numPr>
      </w:pPr>
      <w:r>
        <w:rPr/>
        <w:t xml:space="preserve">les patients aux antécédents cardiovasculaires : hypertension artérielle, accident vasculaire cérébral ou de coronaropathie, chirurgie cardiaque ;</w:t>
      </w:r>
    </w:p>
    <w:p>
      <w:pPr>
        <w:numPr>
          <w:ilvl w:val="0"/>
          <w:numId w:val="4"/>
        </w:numPr>
      </w:pPr>
      <w:r>
        <w:rPr/>
        <w:t xml:space="preserve">les diabétiques insulinodépendants ou présentant des complications secondaires à leur pathologie ;</w:t>
      </w:r>
    </w:p>
    <w:p>
      <w:pPr>
        <w:numPr>
          <w:ilvl w:val="0"/>
          <w:numId w:val="4"/>
        </w:numPr>
      </w:pPr>
      <w:r>
        <w:rPr/>
        <w:t xml:space="preserve">les insuffisants respiratoires chroniques sous oxygénothérapie ou asthme ou mucoviscidose ou toute pathologie chronique respiratoire susceptible de décompenser lors d’une infection virale ;</w:t>
      </w:r>
    </w:p>
    <w:p>
      <w:pPr>
        <w:numPr>
          <w:ilvl w:val="0"/>
          <w:numId w:val="4"/>
        </w:numPr>
      </w:pPr>
      <w:r>
        <w:rPr/>
        <w:t xml:space="preserve">les personnes avec une immunodépression médicamenteuse (ex : chimiothérapie anti cancéreuse), liée à une infection du VIH non contrôlé, consécutive à une greffe d’organe solide ou de cellules souche hématopoïétiques, atteint d’hémopathie maligne en cours de traitement, présentant un cancer métastasé ;</w:t>
      </w:r>
    </w:p>
    <w:p>
      <w:pPr>
        <w:numPr>
          <w:ilvl w:val="0"/>
          <w:numId w:val="4"/>
        </w:numPr>
      </w:pPr>
      <w:r>
        <w:rPr/>
        <w:t xml:space="preserve">les personnes présentant une obésité morbide.</w:t>
      </w:r>
    </w:p>
    <w:p>
      <w:pPr/>
      <w:r>
        <w:rPr/>
        <w:t xml:space="preserve"> Les agents présentant une ou plusieurs pathologies précitées se rendent sur le portail de la CNAMTS afin de déposer une déclaration, et enclencher ainsi la procédure dédiée aux plus vulnérables face au Covid-19.</w:t>
      </w:r>
    </w:p>
    <w:p/>
    <w:p>
      <w:pPr/>
      <w:r>
        <w:rPr/>
        <w:t xml:space="preserve"> </w:t>
      </w:r>
    </w:p>
    <w:p/>
    <w:p>
      <w:pPr/>
      <w:r>
        <w:rPr/>
        <w:t xml:space="preserve">Si les femmes enceintes ne présentent pas de sur-risque, il convient néanmoins de prendre toutes les précautions nécessaires pour la mère et pour l’enfant. Ainsi un travail à distance est systématiquement proposé par l’employeur.</w:t>
      </w:r>
    </w:p>
    <w:p/>
    <w:p>
      <w:pPr/>
      <w:r>
        <w:rPr/>
        <w:t xml:space="preserve">À défaut, en cas d’impossibilité de télétravailler, une autorisation spéciale d’absence est délivrée par le chef de service. </w:t>
      </w:r>
    </w:p>
    <w:p>
      <w:pPr/>
      <w:r>
        <w:rPr>
          <w:b w:val="1"/>
          <w:bCs w:val="1"/>
        </w:rPr>
        <w:t xml:space="preserve">3. Les agents assurant la continuité de l’activité doivent respecter les gestes barrières et les règles de distanciation au travail de façon impérative</w:t>
      </w:r>
    </w:p>
    <w:p>
      <w:pPr/>
      <w:r>
        <w:rPr/>
        <w:t xml:space="preserve"> Les agents appliquent les consignes barrières suivantes : se laver les mains régulièrement ; tousser ou éternuer dans son coude ;  utiliser des mouchoirs à usage unique ; saluer sans se serrer la main et éviter les embrassades.</w:t>
      </w:r>
    </w:p>
    <w:p/>
    <w:p>
      <w:pPr/>
      <w:r>
        <w:rPr/>
        <w:t xml:space="preserve"> </w:t>
      </w:r>
    </w:p>
    <w:p/>
    <w:p>
      <w:pPr/>
      <w:r>
        <w:rPr/>
        <w:t xml:space="preserve">Une distance d’ 1 mètre doit être respectée entre les agents et avec les usagers.</w:t>
      </w:r>
    </w:p>
    <w:p/>
    <w:p>
      <w:pPr/>
      <w:r>
        <w:rPr/>
        <w:t xml:space="preserve"> </w:t>
      </w:r>
    </w:p>
    <w:p/>
    <w:p>
      <w:pPr/>
      <w:r>
        <w:rPr/>
        <w:t xml:space="preserve">Les employeurs publics sont invités à repenser leur organisation afin de : </w:t>
      </w:r>
    </w:p>
    <w:p>
      <w:pPr>
        <w:numPr>
          <w:ilvl w:val="0"/>
          <w:numId w:val="5"/>
        </w:numPr>
      </w:pPr>
      <w:r>
        <w:rPr/>
        <w:t xml:space="preserve">limiter au strict nécessaire les réunions - la plupart peuvent être organisées à distance, les autres devant être organisées dans le respect des règles de distanciation ;</w:t>
      </w:r>
    </w:p>
    <w:p>
      <w:pPr>
        <w:numPr>
          <w:ilvl w:val="0"/>
          <w:numId w:val="5"/>
        </w:numPr>
      </w:pPr>
      <w:r>
        <w:rPr/>
        <w:t xml:space="preserve">limiter les regroupements d’agents dans des espaces réduits ;</w:t>
      </w:r>
    </w:p>
    <w:p>
      <w:pPr>
        <w:numPr>
          <w:ilvl w:val="0"/>
          <w:numId w:val="5"/>
        </w:numPr>
      </w:pPr>
      <w:r>
        <w:rPr/>
        <w:t xml:space="preserve">annuler ou reporter tous les déplacements non indispensables ;</w:t>
      </w:r>
    </w:p>
    <w:p>
      <w:pPr>
        <w:numPr>
          <w:ilvl w:val="0"/>
          <w:numId w:val="5"/>
        </w:numPr>
      </w:pPr>
      <w:r>
        <w:rPr/>
        <w:t xml:space="preserve">éviter tous les rassemblements, séminaires, colloques.</w:t>
      </w:r>
    </w:p>
    <w:p>
      <w:pPr/>
      <w:r>
        <w:rPr/>
        <w:t xml:space="preserve">  </w:t>
      </w:r>
    </w:p>
    <w:p/>
    <w:p>
      <w:pPr/>
      <w:r>
        <w:rPr>
          <w:b w:val="1"/>
          <w:bCs w:val="1"/>
        </w:rPr>
        <w:t xml:space="preserve">4. Restauration administrative</w:t>
      </w:r>
    </w:p>
    <w:p>
      <w:pPr/>
      <w:r>
        <w:rPr/>
        <w:t xml:space="preserve"> Les restaurants administratifs restent ouverts. Ils doivent être aménagés pour laisser un mètre de distance entre les personnes à table, ou privilégier les repas à emporter. </w:t>
      </w:r>
    </w:p>
    <w:p>
      <w:pPr/>
      <w:r>
        <w:rPr>
          <w:b w:val="1"/>
          <w:bCs w:val="1"/>
        </w:rPr>
        <w:t xml:space="preserve">5. Les solutions pour les parents d’enfants de moins de 16 ans</w:t>
      </w:r>
    </w:p>
    <w:p>
      <w:pPr/>
      <w:r>
        <w:rPr/>
        <w:t xml:space="preserve"> Les principes de solidarité et de responsabilité s’appliquent plus que jamais : des solutions d’entraide pour la garde des enfants -hors publics fragiles et personnes de plus de 70 ans- sont à inventer et à organiser localement. Un système de garde est mis en place exclusivement pour les personnels soignants, dans l’école où sont scolarisés leurs enfants ou dans une école à proximité. Afin de prendre en charge les enfants de moins de trois ans, les crèches hospitalières bénéficient d’un régime dérogatoire de façon à rester ouvertes et à accueillir les enfants, en appliquant les mesures de sécurité sanitaire adaptées. Par ailleurs, le nombre d’enfants susceptibles d’être gardés par une assistante maternelle agréée est accru : </w:t>
      </w:r>
    </w:p>
    <w:p>
      <w:pPr/>
      <w:r>
        <w:rPr>
          <w:b w:val="1"/>
          <w:bCs w:val="1"/>
        </w:rPr>
        <w:t xml:space="preserve">il est désormais porté de 4 à 6 enfants</w:t>
      </w:r>
    </w:p>
    <w:p>
      <w:pPr/>
      <w:r>
        <w:rPr/>
        <w:t xml:space="preserve">. Pour les autres agents publics, le télétravail est la solution préconisée. En cas d’impossibilité de télétravail et d’absence de solution de garde pour les enfants de moins de 16 ans, l’agent peut demander à bénéficier d’une autorisation spéciale d’absence, sans délai de carence, et valable le temps que durera la fermeture de la structure d’accueil de son enfant. </w:t>
      </w:r>
    </w:p>
    <w:p>
      <w:pPr/>
      <w:r>
        <w:rPr>
          <w:b w:val="1"/>
          <w:bCs w:val="1"/>
        </w:rPr>
        <w:t xml:space="preserve">6. Les concours sont ajournés dans leur ensemble</w:t>
      </w:r>
    </w:p>
    <w:p>
      <w:pPr/>
      <w:r>
        <w:rPr/>
        <w:t xml:space="preserve"> Les nouvelles dates d’organisation des concours seront précisées ultérieurement. </w:t>
      </w:r>
    </w:p>
    <w:p>
      <w:pPr>
        <w:numPr>
          <w:ilvl w:val="0"/>
          <w:numId w:val="6"/>
        </w:numPr>
      </w:pPr>
      <w:hyperlink r:id="rId7" w:history="1">
        <w:r>
          <w:rPr>
            <w:i w:val="1"/>
            <w:iCs w:val="1"/>
          </w:rPr>
          <w:t xml:space="preserve">Voir le communiqué de presse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1C93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A15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EA6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nction-publique.gouv.fr/files/files/Espace_Presse/dussopt/20200316-gestion-Covid-19-dans-la-F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2026-07-01T12:28:41+02:00</dcterms:created>
  <dcterms:modified xsi:type="dcterms:W3CDTF">2026-07-01T12:28:41+02:00</dcterms:modified>
</cp:coreProperties>
</file>

<file path=docProps/custom.xml><?xml version="1.0" encoding="utf-8"?>
<Properties xmlns="http://schemas.openxmlformats.org/officeDocument/2006/custom-properties" xmlns:vt="http://schemas.openxmlformats.org/officeDocument/2006/docPropsVTypes"/>
</file>