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Retrait d’une commune d’un EPCI. Refus de l’EPCI. Modification du périmètre géographique. Référé-suspension. Urgence (non)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Lorsqu'un arrêté préfectoral a pour objet de modifier la répartition des compétences entre une collectivité territoriale et un groupement de collectivités territoriales ou entre deux groupements de collectivités territoriales, la condition d'urgence à laquelle est subordonné le prononcé d'une mesure de suspension en application de l'article L 521-1 du code de justice administrative doit être regardée comme étant, en principe, remplie. Mais tel n'est pas le cas s'agissant de l'exécution d'un arrêté préfectoral, pris sur le fondement de l'article L 5214-26 du CGCT, autorisant une commune à se retirer d'une communauté de communes pour adhérer à un autre EPCI, lequel emporte seulement modification du périmètre géographique de la communauté de communes (CE, 7 février 2020, </w:t>
      </w:r>
    </w:p>
    <w:p>
      <w:pPr/>
      <w:r>
        <w:rPr>
          <w:i w:val="1"/>
          <w:iCs w:val="1"/>
        </w:rPr>
        <w:t xml:space="preserve">communauté de communes Cœur d'Ostrevent</w:t>
      </w:r>
    </w:p>
    <w:p>
      <w:pPr/>
      <w:r>
        <w:rPr/>
        <w:t xml:space="preserve">, n° 428919).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2026-09-30T04:48:35+02:00</dcterms:created>
  <dcterms:modified xsi:type="dcterms:W3CDTF">2026-09-30T04:48:35+02:00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