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d’une commune d’un EPCI. Refus de l’EPCI. Modification du périmètre géographique. Référé-suspension. Urgence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 arrêté préfectoral a pour objet de modifier la répartition des compétences entre une collectivité territoriale et un groupement de collectivités territoriales ou entre deux groupements de collectivités territoriales, la condition d'urgence à laquelle est subordonné le prononcé d'une mesure de suspension en application de l'article L 521-1 du code de justice administrative doit être regardée comme étant, en principe, remplie. Mais tel n'est pas le cas s'agissant de l'exécution d'un arrêté préfectoral, pris sur le fondement de l'article L 5214-26 du CGCT, autorisant une commune à se retirer d'une communauté de communes pour adhérer à un autre EPCI, lequel emporte seulement modification du périmètre géographique de la communauté de communes (CE, 7 février 2020, </w:t>
      </w:r>
    </w:p>
    <w:p>
      <w:pPr/>
      <w:r>
        <w:rPr>
          <w:i w:val="1"/>
          <w:iCs w:val="1"/>
        </w:rPr>
        <w:t xml:space="preserve">communauté de communes Cœur d'Ostrevent</w:t>
      </w:r>
    </w:p>
    <w:p>
      <w:pPr/>
      <w:r>
        <w:rPr/>
        <w:t xml:space="preserve">, n° 428919).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2026-08-15T16:02:22+02:00</dcterms:created>
  <dcterms:modified xsi:type="dcterms:W3CDTF">2026-08-15T16:02:22+02:00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