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Révision des listes électorales : réunion de la commission de contrôle entre le jeudi 20 et le dimanche 23 février 2020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Commentaire</w:t>
      </w:r>
    </w:p>
    <w:p/>
    <w:p>
      <w:pPr/>
      <w:r>
        <w:rPr/>
        <w:t xml:space="preserve"> La commission de contrôle se réunit entre le 24</w:t>
      </w:r>
    </w:p>
    <w:p>
      <w:pPr/>
      <w:r>
        <w:rPr>
          <w:vertAlign w:val="superscript"/>
        </w:rPr>
        <w:t xml:space="preserve">e</w:t>
      </w:r>
    </w:p>
    <w:p>
      <w:pPr/>
      <w:r>
        <w:rPr/>
        <w:t xml:space="preserve"> et le 21</w:t>
      </w:r>
    </w:p>
    <w:p>
      <w:pPr/>
      <w:r>
        <w:rPr>
          <w:vertAlign w:val="superscript"/>
        </w:rPr>
        <w:t xml:space="preserve">e</w:t>
      </w:r>
    </w:p>
    <w:p>
      <w:pPr/>
      <w:r>
        <w:rPr/>
        <w:t xml:space="preserve"> jour avant chaque scrutin (</w:t>
      </w:r>
    </w:p>
    <w:p>
      <w:pPr/>
      <w:hyperlink r:id="rId7" w:history="1">
        <w:r>
          <w:rPr/>
          <w:t xml:space="preserve">art. L 19</w:t>
        </w:r>
      </w:hyperlink>
    </w:p>
    <w:p>
      <w:pPr/>
      <w:r>
        <w:rPr/>
        <w:t xml:space="preserve"> du code électoral), soit entre le jeudi 20 et le dimanche 23 février 2020. Elle est convoquée par un conseiller municipal. Elle peut, à la majorité de ses membres, au plus tard le 21</w:t>
      </w:r>
    </w:p>
    <w:p>
      <w:pPr/>
      <w:r>
        <w:rPr>
          <w:vertAlign w:val="superscript"/>
        </w:rPr>
        <w:t xml:space="preserve">e</w:t>
      </w:r>
    </w:p>
    <w:p>
      <w:pPr/>
      <w:r>
        <w:rPr/>
        <w:t xml:space="preserve"> jour avant chaque scrutin, réformer les décisions prises par le maire. Elle peut également procéder à l’inscription ou à la radiation d’un électeur omis ou indûment inscrit. Le maire, à sa demande ou à l’invitation de la commission, présente ses observations.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affichCodeArticle.do?idArticle=LEGIARTI000039278649&amp;cidTexte=LEGITEXT000006070239&amp;dateTexte=20200217&amp;fastPos=2&amp;fastReqId=598199864&amp;oldAction=rechCodeArtic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2026-09-30T12:47:30+02:00</dcterms:created>
  <dcterms:modified xsi:type="dcterms:W3CDTF">2026-09-30T12:47:30+02:00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