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Livret de famille. Cas de délivrance d’un second livret et renseignements pouvant être demandés</w:t>
      </w:r>
    </w:p>
    <w:p>
      <w:pPr>
        <w:pStyle w:val="Heading2"/>
      </w:pPr>
      <w:r>
        <w:rPr/>
        <w:t xml:space="preserve">Revue - Etat Civil</w:t>
      </w:r>
    </w:p>
    <w:p>
      <w:pPr>
        <w:pStyle w:val="Heading3"/>
      </w:pPr>
      <w:r>
        <w:rPr/>
        <w:t xml:space="preserve">Source - JO</w:t>
      </w:r>
    </w:p>
    <w:p/>
    <w:p>
      <w:pPr/>
      <w:r>
        <w:rPr/>
        <w:t xml:space="preserve"> Un arrêté du 10 janvier 2020 modifie l’arrêté du 1</w:t>
      </w:r>
    </w:p>
    <w:p>
      <w:pPr/>
      <w:r>
        <w:rPr>
          <w:vertAlign w:val="superscript"/>
        </w:rPr>
        <w:t xml:space="preserve">er</w:t>
      </w:r>
    </w:p>
    <w:p>
      <w:pPr/>
      <w:r>
        <w:rPr/>
        <w:t xml:space="preserve"> juin 2006 fixant le modèle de livret de famille. </w:t>
      </w:r>
    </w:p>
    <w:p>
      <w:pPr/>
      <w:r>
        <w:rPr>
          <w:b w:val="1"/>
          <w:bCs w:val="1"/>
        </w:rPr>
        <w:t xml:space="preserve">1.</w:t>
      </w:r>
    </w:p>
    <w:p>
      <w:pPr/>
      <w:r>
        <w:rPr/>
        <w:t xml:space="preserve"> Il prévoit qu’un second livret peut être délivré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d'une convention de divorce ou de séparation de corps par consentement mutuel par acte sous signature privée contresigné par avocats et déposé au rang des minutes d'un notaire mais aussi toutes les fois que le demandeur invoque un intérêt à disposer d'un livret de famille : mésentente entre les époux, séparation de fait (etc.). Le demandeur doit s'adresser à l'officier de l'état civil du lieu de sa résidence. </w:t>
      </w:r>
    </w:p>
    <w:p>
      <w:pPr/>
      <w:r>
        <w:rPr>
          <w:b w:val="1"/>
          <w:bCs w:val="1"/>
        </w:rPr>
        <w:t xml:space="preserve">2.</w:t>
      </w:r>
    </w:p>
    <w:p>
      <w:pPr/>
      <w:r>
        <w:rPr/>
        <w:t xml:space="preserve"> </w:t>
      </w:r>
    </w:p>
    <w:p>
      <w:pPr/>
      <w:hyperlink r:id="rId7" w:history="1">
        <w:r>
          <w:rPr/>
          <w:t xml:space="preserve">L'annexe II</w:t>
        </w:r>
      </w:hyperlink>
    </w:p>
    <w:p>
      <w:pPr/>
      <w:r>
        <w:rPr/>
        <w:t xml:space="preserve"> de l’arrêté du 1</w:t>
      </w:r>
    </w:p>
    <w:p>
      <w:pPr/>
      <w:r>
        <w:rPr>
          <w:vertAlign w:val="superscript"/>
        </w:rPr>
        <w:t xml:space="preserve">er</w:t>
      </w:r>
    </w:p>
    <w:p>
      <w:pPr/>
      <w:r>
        <w:rPr/>
        <w:t xml:space="preserve"> juin 2006 fixant les renseignements relatifs à l’état civil et au droit de la famille est modifié. </w:t>
      </w:r>
    </w:p>
    <w:p>
      <w:pPr/>
      <w:r>
        <w:rPr>
          <w:b w:val="1"/>
          <w:bCs w:val="1"/>
        </w:rPr>
        <w:t xml:space="preserve">3.</w:t>
      </w:r>
    </w:p>
    <w:p>
      <w:pPr/>
      <w:r>
        <w:rPr/>
        <w:t xml:space="preserve"> Les officiers de l'état civil pourront continuer à délivrer les anciens modèles de livret de famille jusqu'à épuisement des stocks.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10/JUSC1933172A/jo/article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2026-08-17T21:51:54+02:00</dcterms:created>
  <dcterms:modified xsi:type="dcterms:W3CDTF">2026-08-17T21:51:54+02:00</dcterms:modified>
</cp:coreProperties>
</file>

<file path=docProps/custom.xml><?xml version="1.0" encoding="utf-8"?>
<Properties xmlns="http://schemas.openxmlformats.org/officeDocument/2006/custom-properties" xmlns:vt="http://schemas.openxmlformats.org/officeDocument/2006/docPropsVTypes"/>
</file>