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Eau et assainissement. Solde du transfert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/>
        <w:t xml:space="preserve"> L'article L 1321-1 du CGCT prévoit que « le transfert d'une compétence entraîne de plein droit la mise à la disposition de la collectivité bénéficiaire des biens meubles et immeubles utilisés, à la date de ce transfert, pour l'exercice de cette compétence ». Ainsi, un emprunt souscrit pour réaliser des investissements indispensables à l'exercice du service sera mis à disposition de l'EPCI nouvellement compétent puisqu'il constitue une obligation attachée à un bien, équipement ou service nécessaire au service. La même solution tend à s'appliquer pour les provisions pour investissements. Toutefois, le Conseil d'État a eu l'occasion de rappeler (CE, 25 mars 2016, </w:t>
      </w:r>
    </w:p>
    <w:p>
      <w:pPr/>
      <w:hyperlink r:id="rId7" w:history="1">
        <w:r>
          <w:rPr>
            <w:i w:val="1"/>
            <w:iCs w:val="1"/>
          </w:rPr>
          <w:t xml:space="preserve">commune de la Motte-Ternant</w:t>
        </w:r>
      </w:hyperlink>
    </w:p>
    <w:p>
      <w:pPr/>
      <w:r>
        <w:rPr/>
        <w:t xml:space="preserve">, n° 386623) que « le solde du compte administratif du budget annexe d'un service public à caractère industriel et commercial ne constitue pas un bien qui serait nécessaire à l'exercice de ce service public, ni un ensemble de droits et obligations qui lui seraient attachés » (</w:t>
      </w:r>
    </w:p>
    <w:p>
      <w:pPr/>
      <w:r>
        <w:rPr>
          <w:i w:val="1"/>
          <w:iCs w:val="1"/>
        </w:rPr>
        <w:t xml:space="preserve">JO </w:t>
      </w:r>
    </w:p>
    <w:p>
      <w:pPr/>
      <w:r>
        <w:rPr/>
        <w:t xml:space="preserve">Sénat, 17.10.2019, question n° 10305, p. 5260).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affichJuriAdmin.do?oldAction=rechJuriAdmin&amp;idTexte=CETATEXT000032308133&amp;fastReqId=969792836&amp;fastPos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2026-10-01T06:19:21+02:00</dcterms:created>
  <dcterms:modified xsi:type="dcterms:W3CDTF">2026-10-01T06:19:21+02:00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