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Facturation électronique dans la commande publique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2019-748 du 18 juillet 201 porte codification, dans le code de la commande publique, du </w:t>
      </w:r>
    </w:p>
    <w:p>
      <w:pPr/>
      <w:hyperlink r:id="rId7" w:history="1">
        <w:r>
          <w:rPr/>
          <w:t xml:space="preserve">décret n° 2016-1478</w:t>
        </w:r>
      </w:hyperlink>
    </w:p>
    <w:p>
      <w:pPr/>
      <w:r>
        <w:rPr/>
        <w:t xml:space="preserve"> du 2 novembre 2016 relatif à la facturation électronique et transpose la directive 2014/55/UE du Parlement européen et du Conseil du 16 avril 2014 relative à la facturation électronique dans le cadre des marchés publics. Il corrige également plusieurs dispositions codifiées dans la partie réglementaire du code de la commande publique.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idTexte=JORFTEXT0000333384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2025-12-18T01:13:17+01:00</dcterms:created>
  <dcterms:modified xsi:type="dcterms:W3CDTF">2025-12-18T01:13:17+01:00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