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Frais de raccordement aux réseaux. Distance des 100 mètres</w:t>
      </w:r>
    </w:p>
    <w:p>
      <w:pPr>
        <w:pStyle w:val="Heading2"/>
      </w:pPr>
      <w:r>
        <w:rPr/>
        <w:t xml:space="preserve">Revue - Urbanisme</w:t>
      </w:r>
    </w:p>
    <w:p>
      <w:pPr>
        <w:pStyle w:val="Heading3"/>
      </w:pPr>
      <w:r>
        <w:rPr/>
        <w:t xml:space="preserve">Source - JO AN - JO Sénat</w:t>
      </w:r>
    </w:p>
    <w:p/>
    <w:p>
      <w:pPr/>
      <w:r>
        <w:rPr/>
        <w:t xml:space="preserve"> Par principe, le financement des équipements publics et de leur extension est assuré par le budget des collectivités locales. Par exception, les articles L 332-6 et L 332-6-1 du code de l'urbanisme énumèrent de manière exhaustive les contributions pouvant être mises à la charge des constructeurs pour contribuer à financer les équipements publics d'infrastructures induits par l'urbanisation ainsi que les équipements propres aux opérations d'aménagement prévus à l'article L 332-15 du code de l'urbanisme. Ce dernier prévoit ainsi la possibilité d'exiger, au sein de l'autorisation d'urbanisme, la réalisation et le financement de certains équipements propres à l'opération, ainsi que leur branchement aux équipements publics existants au droit du terrain. Par dérogation, l'article L 332-15 prévoit aussi que, pour les réseaux d'eau et d'électricité, l'autorisation d'urbanisme peut, sous réserve de l'accord du demandeur et dans les conditions définies par l'autorité organisatrice du service public de l'eau ou de l'électricité, demander au constructeur le financement de raccordements à usage individuel sur les réseaux d'eau potable ou d'électricité, situés sur des emprises publiques, dans une limite de 100 mètres. Dans ce cas, ce raccordement ne doit pas desservir d'autres constructions existantes ou futures, au risque de devenir un équipement public. Le pétitionnaire pourrait alors engager, à tous moments, à l'encontre du maître d'ouvrage du réseau public concerné, des demandes de remboursement. Les sommes à restituer sont augmentées d'intérêts légaux majorés (</w:t>
      </w:r>
    </w:p>
    <w:p>
      <w:pPr/>
      <w:r>
        <w:rPr>
          <w:i w:val="1"/>
          <w:iCs w:val="1"/>
        </w:rPr>
        <w:t xml:space="preserve">JO </w:t>
      </w:r>
    </w:p>
    <w:p>
      <w:pPr/>
      <w:r>
        <w:rPr/>
        <w:t xml:space="preserve">Sénat, 23.05.2019, question n° 07118, p. 2727).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2026-10-02T06:23:54+02:00</dcterms:created>
  <dcterms:modified xsi:type="dcterms:W3CDTF">2026-10-02T06:23:54+02:00</dcterms:modified>
</cp:coreProperties>
</file>

<file path=docProps/custom.xml><?xml version="1.0" encoding="utf-8"?>
<Properties xmlns="http://schemas.openxmlformats.org/officeDocument/2006/custom-properties" xmlns:vt="http://schemas.openxmlformats.org/officeDocument/2006/docPropsVTypes"/>
</file>