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Policiers municipaux. Exercice en civil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second alinéa de l'article L 511-4 du code de la sécurité intérieure dispose que « le port de la carte professionnelle et celui de la tenue sont obligatoires pendant le service ». À cet égard, la jurisprudence a été amenée à préciser que constitue un ordre manifestement illégal et de nature à compromettre gravement un intérêt public, au sens des dispositions de l'article 28 de la loi n° 83-634 du 13 juillet 1983 portant droits et obligations des fonctionnaires, le fait de demander à un agent de police municipale de travailler en civil à l'occasion des fêtes locales (CAA Bordeaux, 27 mars 2012, </w:t>
      </w:r>
    </w:p>
    <w:p>
      <w:pPr/>
      <w:hyperlink r:id="rId7" w:history="1">
        <w:r>
          <w:rPr/>
          <w:t xml:space="preserve">commune de Biarritz</w:t>
        </w:r>
      </w:hyperlink>
    </w:p>
    <w:p>
      <w:pPr/>
      <w:r>
        <w:rPr/>
        <w:t xml:space="preserve">, n° 11BX01153)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21.03.2019, question n° 07665, p. 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25597872&amp;fastReqId=1787889414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2025-12-17T22:28:37+01:00</dcterms:created>
  <dcterms:modified xsi:type="dcterms:W3CDTF">2025-12-17T22:28:37+01:00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