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Ordures déposées sur une route hors agglomération. Enlèvement. Prise en charge par le président du conseil départemental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</w:t>
      </w:r>
    </w:p>
    <w:p/>
    <w:p>
      <w:pPr/>
      <w:r>
        <w:rPr/>
        <w:t xml:space="preserve"> Il incombe au président du conseil départemental de prendre en charge l'enlèvement des dépôts effectués sur l'emprise d'une route départementale située hors agglomération (</w:t>
      </w:r>
    </w:p>
    <w:p>
      <w:pPr/>
      <w:r>
        <w:rPr>
          <w:i w:val="1"/>
          <w:iCs w:val="1"/>
        </w:rPr>
        <w:t xml:space="preserve">JO </w:t>
      </w:r>
    </w:p>
    <w:p>
      <w:pPr/>
      <w:r>
        <w:rPr/>
        <w:t xml:space="preserve">Sénat, 18.04.2019, question n° 09260, p. 2121).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2026-09-30T10:40:52+02:00</dcterms:created>
  <dcterms:modified xsi:type="dcterms:W3CDTF">2026-09-30T10:40:52+02:00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