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Majoration du taux de la taxe d'aménagement. Durée de validité de la délibération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Il résulte de l'article L 331-14 du code de l'urbanisme que le taux de 1 % prévu au dernier alinéa de cet article ne s'applique qu'en l'absence de toute délibération communale fixant le taux de la taxe d'aménagement. En revanche, dès lors que le conseil municipal a fait usage de la possibilité qui lui est offerte par le deuxième alinéa du même article et qu'il a fixé un taux supérieur à 1 %, sa délibération, en l'absence de nouvelle délibération adoptée dans les conditions prévues au premier alinéa, est reconduite de plein droit chaque année (CE, 24 avril 2019, </w:t>
      </w:r>
    </w:p>
    <w:p>
      <w:pPr/>
      <w:r>
        <w:rPr>
          <w:i w:val="1"/>
          <w:iCs w:val="1"/>
        </w:rPr>
        <w:t xml:space="preserve">M. A.</w:t>
      </w:r>
    </w:p>
    <w:p>
      <w:pPr/>
      <w:r>
        <w:rPr/>
        <w:t xml:space="preserve">, n° 417980).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2026-10-01T04:26:57+02:00</dcterms:created>
  <dcterms:modified xsi:type="dcterms:W3CDTF">2026-10-01T04:26:57+02:00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