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Cimetière. Fermeture définitive. Inhumations dans les caveaux de famille (oui sous conditions)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Lorsqu'une commune a décidé la fermeture d'un cimetière, cette décision fait obstacle à l'octroi de toute nouvelle concession et à toute nouvelle inhumation en terrain commun mais n'interdit pas, tant que l'affectation du sol à un autre usage n'a pas été reconnue d'utilité publique, la poursuite des inhumations en terrain concédé dans les caveaux de famille, si ceux-ci satisfont aux prescriptions légales d'hygiène et de salubrité et à concurrence du nombre de places encore disponibles dans ces caveaux à la date de la décision de fermeture. Si ces conditions sont remplies, le maire est tenu de faire droit à une telle demande d'inhumation (CAA Nantes, 8 février 2019, </w:t>
      </w:r>
    </w:p>
    <w:p>
      <w:pPr/>
      <w:r>
        <w:rPr>
          <w:i w:val="1"/>
          <w:iCs w:val="1"/>
        </w:rPr>
        <w:t xml:space="preserve">commune de Roscoff</w:t>
      </w:r>
    </w:p>
    <w:p>
      <w:pPr/>
      <w:r>
        <w:rPr/>
        <w:t xml:space="preserve">, n° 18NT03999).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2026-07-02T14:13:36+02:00</dcterms:created>
  <dcterms:modified xsi:type="dcterms:W3CDTF">2026-07-02T14:13:36+02:00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