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Maîtrise d'oeuvre. Avant-projet définitif. Dépassement excessif de l'enveloppe prévisionnelle (+ 36 %). Résiliation pour motif d'intérêt général (oui)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Le dépassement excessif du budget prévisionnel par le maître d'œuvre dans l'avant-projet définitif est susceptible de fonder la résiliation d'un marché (art. 33 du cahier des clauses administratives générales applicables aux marchés publics de prestations intellectuelles, relatif à la résiliation pour motif d'intérêt général). En l'espèce, l'estimation figurant dans l'avant-projet définitif établi par la société était supérieur de 36 % au montant admis par le maître d'ouvrage. La résiliation en litige a pu être valablement fondée sur un motif tiré du dépassement excessif de l'enveloppe prévisionnelle déjà réévaluée (CAA Bordeaux, 14 décembre 2018,</w:t>
      </w:r>
    </w:p>
    <w:p>
      <w:pPr/>
      <w:r>
        <w:rPr>
          <w:i w:val="1"/>
          <w:iCs w:val="1"/>
        </w:rPr>
        <w:t xml:space="preserve"> société Groupe BETC</w:t>
      </w:r>
    </w:p>
    <w:p>
      <w:pPr/>
      <w:r>
        <w:rPr/>
        <w:t xml:space="preserve">, n° 16BX01224).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2026-10-01T08:57:15+02:00</dcterms:created>
  <dcterms:modified xsi:type="dcterms:W3CDTF">2026-10-01T08:57:15+02:00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