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de construction en cas d'innovation (technique ou architecturale). Conditions d'application</w:t>
      </w:r>
    </w:p>
    <w:p>
      <w:pPr>
        <w:pStyle w:val="Heading2"/>
      </w:pPr>
      <w:r>
        <w:rPr/>
        <w:t xml:space="preserve">Revue - Urbanisme</w:t>
      </w:r>
    </w:p>
    <w:p>
      <w:pPr>
        <w:pStyle w:val="Heading3"/>
      </w:pPr>
      <w:r>
        <w:rPr/>
        <w:t xml:space="preserve">Source - JO</w:t>
      </w:r>
    </w:p>
    <w:p/>
    <w:p>
      <w:pPr/>
      <w:r>
        <w:rPr/>
        <w:t xml:space="preserve"> Tout maître d'ouvrage est autorisé, en application de l'ordonnance n° 2018-937 du 30 octobre 2018 visant à faciliter la réalisation de projets de construction et à favoriser l'innovation, à déroger à certaines règles de construction et à mettre en œuvre une solution d'effet équivalent, sous réserve qu'il apporte la preuve que cette solution parvient à des résultats équivalents à ceux découlant de l'application des règles de droit commun et que les moyens mis en œuvre présentent un caractère innovant. Le caractère équivalent de la solution proposée doit être attesté par un organisme tiers, indépendant de l'opération. Le décret n° 2019-184 du 11 mars 2019 précise la liste des règles pour lesquelles une solution d'effet équivalent peut être proposée, ainsi que les objectifs généraux assignés à ces règles. Le décret définit également le contenu et la procédure d'instruction du dossier de demande d'attestation d'effet équivalent et les compétences requises pour les organismes délivrant ces attestations.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2026-05-18T11:28:48+02:00</dcterms:created>
  <dcterms:modified xsi:type="dcterms:W3CDTF">2026-05-18T11:28:48+02:00</dcterms:modified>
</cp:coreProperties>
</file>

<file path=docProps/custom.xml><?xml version="1.0" encoding="utf-8"?>
<Properties xmlns="http://schemas.openxmlformats.org/officeDocument/2006/custom-properties" xmlns:vt="http://schemas.openxmlformats.org/officeDocument/2006/docPropsVTypes"/>
</file>