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d'aménagement. Actualisation annuelle des tarifs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Conformément aux dispositions de </w:t>
      </w:r>
    </w:p>
    <w:p>
      <w:pPr/>
      <w:hyperlink r:id="rId7" w:history="1">
        <w:r>
          <w:rPr/>
          <w:t xml:space="preserve">l'article L 331-11</w:t>
        </w:r>
      </w:hyperlink>
    </w:p>
    <w:p>
      <w:pPr/>
      <w:r>
        <w:rPr/>
        <w:t xml:space="preserve"> du code de l'urbanisme, les valeurs au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 de surface de construction, constituant l'assiette de la taxe d'aménagement perçue à l'occasion de la construction et de la reconstruction, sont actualisées au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de chaque année, en fonction du dernier indice du coût de la construction connu à cette date, et arrondies à l'euro inférieur. Les tarifs par mètre carré de construction s'élèvent ainsi, pour la période du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2019 au 31 décembre 2019, aux valeurs suivantes : </w:t>
      </w:r>
    </w:p>
    <w:p/>
    <w:p/>
    <w:p>
      <w:pPr/>
      <w:r>
        <w:rPr/>
        <w:t xml:space="preserve"> </w:t>
      </w:r>
    </w:p>
    <w:tbl>
      <w:tblGrid>
        <w:gridCol w:w="120" w:type="dxa"/>
        <w:gridCol w:w="120" w:type="dxa"/>
        <w:gridCol w:w="40" w:type="dxa"/>
        <w:gridCol w:w="140" w:type="dxa"/>
      </w:tblGrid>
      <w:tblPr>
        <w:tblW w:w="0" w:type="auto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r>
              <w:rPr>
                <w:sz w:val="17"/>
                <w:szCs w:val="17"/>
              </w:rPr>
              <w:t xml:space="preserve"> </w:t>
            </w:r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  <w:b w:val="1"/>
                <w:bCs w:val="1"/>
              </w:rPr>
              <w:t xml:space="preserve">HORS ILE-DE-FRANCE</w:t>
            </w:r>
            <w:br/>
            <w:br/>
          </w:p>
        </w:tc>
        <w:tc>
          <w:tcPr>
            <w:tcW w:w="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  <w:b w:val="1"/>
                <w:bCs w:val="1"/>
              </w:rPr>
              <w:t xml:space="preserve">ILE-DE-FRANCE</w:t>
            </w:r>
          </w:p>
        </w:tc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  <w:b w:val="1"/>
                <w:bCs w:val="1"/>
              </w:rPr>
              <w:t xml:space="preserve">INDICES</w:t>
            </w:r>
          </w:p>
        </w:tc>
      </w:tr>
      <w:tr>
        <w:trPr/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left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  <w:b w:val="1"/>
                <w:bCs w:val="1"/>
              </w:rPr>
              <w:t xml:space="preserve">Rappel de la valeur 2011</w:t>
            </w:r>
            <w:br/>
            <w:br/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660 €</w:t>
            </w:r>
          </w:p>
        </w:tc>
        <w:tc>
          <w:tcPr>
            <w:tcW w:w="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748 €</w:t>
            </w:r>
          </w:p>
        </w:tc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1 517</w:t>
            </w:r>
          </w:p>
        </w:tc>
      </w:tr>
      <w:tr>
        <w:trPr/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left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  <w:b w:val="1"/>
                <w:bCs w:val="1"/>
              </w:rPr>
              <w:t xml:space="preserve">Valeur 2019 </w:t>
            </w:r>
            <w:br/>
            <w:r>
              <w:rPr>
                <w:sz w:val="17"/>
                <w:szCs w:val="17"/>
                <w:b w:val="1"/>
                <w:bCs w:val="1"/>
              </w:rPr>
              <w:t xml:space="preserve">(arrondie à l'euro inférieur)</w:t>
            </w:r>
            <w:br/>
            <w:br/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753 €</w:t>
            </w:r>
          </w:p>
        </w:tc>
        <w:tc>
          <w:tcPr>
            <w:tcW w:w="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854 €</w:t>
            </w:r>
          </w:p>
        </w:tc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1 733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4075&amp;idArticle=LEGIARTI000023368811&amp;dateTexte=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2026-08-16T22:20:28+02:00</dcterms:created>
  <dcterms:modified xsi:type="dcterms:W3CDTF">2026-08-16T22:20:28+02:00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