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Séance du conseil municipal. Examen de délibérations non inscrites à l'ordre du jour (non)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l'espèce, l’ordre du jour de la séance du conseil municipal ne comportait pas l'examen de deux délibérations relatives, pour la première, à l'attribution d'une subvention exceptionnelle à une association et, pour la seconde, à l'instauration et au versement de l'aide à la reprise ou à la création d'entreprise. Cet ordre du jour ne comportait pas davantage l'examen de questions diverses. Ainsi, quand bien même ces délibérations auraient revêtu un caractère mineur, c'est à bon droit que les premiers juges ont estimé que leur adoption avait méconnu les règles fixées par les dispositions de l'article L 2121-10 du CGCT concernant l'inscription des questions à l'ordre du jour du conseil municipal (CAA Versailles, 18 octobre 2018, </w:t>
      </w:r>
    </w:p>
    <w:p>
      <w:pPr/>
      <w:r>
        <w:rPr>
          <w:i w:val="1"/>
          <w:iCs w:val="1"/>
        </w:rPr>
        <w:t xml:space="preserve">commune de Vigneux-sur-Seine</w:t>
      </w:r>
    </w:p>
    <w:p>
      <w:pPr/>
      <w:r>
        <w:rPr/>
        <w:t xml:space="preserve">, n° 17VE02860).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2026-10-01T09:50:54+02:00</dcterms:created>
  <dcterms:modified xsi:type="dcterms:W3CDTF">2026-10-01T09:50:54+02:00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