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Séance du conseil municipal. Examen de délibérations non inscrites à l'ordre du jour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l’ordre du jour de la séance du conseil municipal ne comportait pas l'examen de deux délibérations relatives, pour la première, à l'attribution d'une subvention exceptionnelle à une association et, pour la seconde, à l'instauration et au versement de l'aide à la reprise ou à la création d'entreprise. Cet ordre du jour ne comportait pas davantage l'examen de questions diverses. Ainsi, quand bien même ces délibérations auraient revêtu un caractère mineur, c'est à bon droit que les premiers juges ont estimé que leur adoption avait méconnu les règles fixées par les dispositions de l'article L 2121-10 du CGCT concernant l'inscription des questions à l'ordre du jour du conseil municipal (CAA Versailles, 18 octobre 2018, </w:t>
      </w:r>
    </w:p>
    <w:p>
      <w:pPr/>
      <w:r>
        <w:rPr>
          <w:i w:val="1"/>
          <w:iCs w:val="1"/>
        </w:rPr>
        <w:t xml:space="preserve">commune de Vigneux-sur-Seine</w:t>
      </w:r>
    </w:p>
    <w:p>
      <w:pPr/>
      <w:r>
        <w:rPr/>
        <w:t xml:space="preserve">, n° 17VE02860).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2025-12-17T19:09:39+01:00</dcterms:created>
  <dcterms:modified xsi:type="dcterms:W3CDTF">2025-12-17T19:09:39+01:00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