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Equipements sportifs d'intérêt communautaire. Financement</w:t>
      </w:r>
    </w:p>
    <w:p>
      <w:pPr>
        <w:pStyle w:val="Heading2"/>
      </w:pPr>
      <w:r>
        <w:rPr/>
        <w:t xml:space="preserve">Revue - Intercommunalité</w:t>
      </w:r>
    </w:p>
    <w:p>
      <w:pPr>
        <w:pStyle w:val="Heading3"/>
      </w:pPr>
      <w:r>
        <w:rPr/>
        <w:t xml:space="preserve">Source - JO AN - JO Sénat</w:t>
      </w:r>
    </w:p>
    <w:p/>
    <w:p>
      <w:pPr/>
      <w:r>
        <w:rPr/>
        <w:t xml:space="preserve"> La construction, l'entretien et le fonctionnement des équipements sportifs d'intérêt communautaire constituent une compétence optionnelle pour la communauté de communes (4° du II de l'article L 5214-16 du CGCT). Lorsque la compétence en matière d'équipements sportifs est prise par la communauté, son organe délibérant doit en définir l'intérêt communautaire. Sont en principe reconnus d'intérêt communautaire les équipements caractérisés par leur dimension financière, leur taux de fréquentation important ou leur rayonnement (accueil de compétitions ou de manifestations sportives). Le financement de l'équipement d'intérêt communautaire est ainsi pris en charge par la communauté de communes, qui peut bénéficier de subventions de l'État, de la région, du département et des communes membres en application de l'article L 5214-23 du CGCT. La communauté de communes peut également bénéficier de fonds de concours, prévus au V de l'article L 5214-16 du CGCT, versés par les communes membres, sous réserve que leur montant n'excède pas la part du financement assurée, hors subventions, par la communauté de communes. Ces fonds sont versés après accords concordants exprimés à la majorité simple du conseil communautaire et des conseils municipaux concernés. Dans une logique inverse, l’EPCI peut verser des subventions pour participer au financement d'un équipement sportif d'intérêt municipal, mais qui présente un intérêt pour l'ensemble du territoire intercommunal. Les décisions portant sur les modalités de contribution financière des communes membres à l'entretien et au fonctionnement d'un équipement sportif d'intérêt communautaire (programmation des activités, information des usagers, maintenance, etc.) font l'objet d'une discussion en conseil et sont prises dans les conditions de majorité. Le conseil ne peut pas imposer unilatéralement à la commune d'implantation de l'équipement de le financer de façon plus importante que les autres communes (</w:t>
      </w:r>
    </w:p>
    <w:p>
      <w:pPr/>
      <w:r>
        <w:rPr>
          <w:i w:val="1"/>
          <w:iCs w:val="1"/>
        </w:rPr>
        <w:t xml:space="preserve">JO </w:t>
      </w:r>
    </w:p>
    <w:p>
      <w:pPr/>
      <w:r>
        <w:rPr/>
        <w:t xml:space="preserve">Sénat, 20.09.2018, question n° 06363, p. 4801).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2026-07-01T06:37:12+02:00</dcterms:created>
  <dcterms:modified xsi:type="dcterms:W3CDTF">2026-07-01T06:37:12+02:00</dcterms:modified>
</cp:coreProperties>
</file>

<file path=docProps/custom.xml><?xml version="1.0" encoding="utf-8"?>
<Properties xmlns="http://schemas.openxmlformats.org/officeDocument/2006/custom-properties" xmlns:vt="http://schemas.openxmlformats.org/officeDocument/2006/docPropsVTypes"/>
</file>