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Abattement spécial de taxe foncière sur les propriétés bâties en faveur des boutiques et magasins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 L'article 1388 </w:t>
      </w:r>
    </w:p>
    <w:p>
      <w:pPr/>
      <w:r>
        <w:rPr>
          <w:i w:val="1"/>
          <w:iCs w:val="1"/>
        </w:rPr>
        <w:t xml:space="preserve">quinquies</w:t>
      </w:r>
    </w:p>
    <w:p>
      <w:pPr/>
      <w:r>
        <w:rPr/>
        <w:t xml:space="preserve"> C du CGI permet aux collectivités territoriales ou aux EPCI à fiscalité propre d'instituer, pour les magasins et boutiques dont la surface principale est inférieure à 400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 et qui ne sont pas intégrés à un ensemble commercial, un abattement de 1 % à 15 % sur la base d'imposition de la taxe foncière sur les propriétés bâties (TFPB). Conformément au I de </w:t>
      </w:r>
    </w:p>
    <w:p>
      <w:pPr/>
      <w:hyperlink r:id="rId7" w:history="1">
        <w:r>
          <w:rPr/>
          <w:t xml:space="preserve">l’article 1639 A</w:t>
        </w:r>
      </w:hyperlink>
    </w:p>
    <w:p>
      <w:pPr/>
      <w:hyperlink r:id="rId7" w:history="1">
        <w:r>
          <w:rPr>
            <w:i w:val="1"/>
            <w:iCs w:val="1"/>
          </w:rPr>
          <w:t xml:space="preserve"> bis</w:t>
        </w:r>
      </w:hyperlink>
    </w:p>
    <w:p>
      <w:pPr/>
      <w:r>
        <w:rPr>
          <w:i w:val="1"/>
          <w:iCs w:val="1"/>
        </w:rPr>
        <w:t xml:space="preserve"> </w:t>
      </w:r>
    </w:p>
    <w:p>
      <w:pPr/>
      <w:r>
        <w:rPr/>
        <w:t xml:space="preserve">du CGI, les délibérations doivent intervenir avant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octobre pour être applicables à compter de l’année suivante.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idArticle=LEGIARTI000033816803&amp;cidTexte=LEGITEXT000006069577&amp;dateTexte=20180920&amp;oldAction=rechCodeArticle&amp;fastReqId=1535372921&amp;nbResultRech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2026-08-15T22:29:07+02:00</dcterms:created>
  <dcterms:modified xsi:type="dcterms:W3CDTF">2026-08-15T22:29:07+02:00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