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Accueils de loisirs. Modification des définitions et des règles applicables</w:t>
      </w:r>
    </w:p>
    <w:p>
      <w:pPr>
        <w:pStyle w:val="Heading2"/>
      </w:pPr>
      <w:r>
        <w:rPr/>
        <w:t xml:space="preserve">Revue - Vie Communale</w:t>
      </w:r>
    </w:p>
    <w:p>
      <w:pPr>
        <w:pStyle w:val="Heading3"/>
      </w:pPr>
      <w:r>
        <w:rPr/>
        <w:t xml:space="preserve">Source - Lois et décrets</w:t>
      </w:r>
    </w:p>
    <w:p/>
    <w:p>
      <w:pPr/>
      <w:r>
        <w:rPr/>
        <w:t xml:space="preserve"> Le décret n° 2018-647 du 23 juillet 2018 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2026-02-14T06:20:58+01:00</dcterms:created>
  <dcterms:modified xsi:type="dcterms:W3CDTF">2026-02-14T06:20:58+01:00</dcterms:modified>
</cp:coreProperties>
</file>

<file path=docProps/custom.xml><?xml version="1.0" encoding="utf-8"?>
<Properties xmlns="http://schemas.openxmlformats.org/officeDocument/2006/custom-properties" xmlns:vt="http://schemas.openxmlformats.org/officeDocument/2006/docPropsVTypes"/>
</file>