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Prostitution. Interdiction de stationner et d’aller et venir dans un secteur défini. Mesure proportionnée aux buts poursuivis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juge que, compte tenu de l’intensité des troubles à l’ordre public constatés dans le quartier de la gare de la commune, dont la matérialité et l’étendue ressortent des pièces produites par la commune, le maire a pris une mesure proportionnée aux nécessités du maintien de l’ordre public en interdisant aux personnes se livrant à la prostitution de stationner ou de se livrer à des allées et venues sur la voie publique, de jour comme de nuit, dans un périmètre défini (CAA Bordeaux, 21 juin 2018, </w:t>
      </w:r>
    </w:p>
    <w:p>
      <w:pPr/>
      <w:r>
        <w:rPr>
          <w:i w:val="1"/>
          <w:iCs w:val="1"/>
        </w:rPr>
        <w:t xml:space="preserve">commune d’Albi</w:t>
      </w:r>
    </w:p>
    <w:p>
      <w:pPr/>
      <w:r>
        <w:rPr/>
        <w:t xml:space="preserve">, n° 16BX02889).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2026-08-15T18:12:17+02:00</dcterms:created>
  <dcterms:modified xsi:type="dcterms:W3CDTF">2026-08-15T18:12:17+02:00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