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Prostitution. Interdiction de stationner et d’aller et venir dans un secteur défini. Mesure proportionnée aux buts poursuivis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La cour juge que, compte tenu de l’intensité des troubles à l’ordre public constatés dans le quartier de la gare de la commune, dont la matérialité et l’étendue ressortent des pièces produites par la commune, le maire a pris une mesure proportionnée aux nécessités du maintien de l’ordre public en interdisant aux personnes se livrant à la prostitution de stationner ou de se livrer à des allées et venues sur la voie publique, de jour comme de nuit, dans un périmètre défini (CAA Bordeaux, 21 juin 2018, </w:t>
      </w:r>
    </w:p>
    <w:p>
      <w:pPr/>
      <w:r>
        <w:rPr>
          <w:i w:val="1"/>
          <w:iCs w:val="1"/>
        </w:rPr>
        <w:t xml:space="preserve">commune d’Albi</w:t>
      </w:r>
    </w:p>
    <w:p>
      <w:pPr/>
      <w:r>
        <w:rPr/>
        <w:t xml:space="preserve">, n° 16BX02889).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2026-05-16T07:18:01+02:00</dcterms:created>
  <dcterms:modified xsi:type="dcterms:W3CDTF">2026-05-16T07:18:01+02:00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