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Prostitution. Interdiction de stationner et d’aller et venir dans un secteur défini. Mesure proportionnée aux buts poursuivis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La cour juge que, compte tenu de l’intensité des troubles à l’ordre public constatés dans le quartier de la gare de la commune, dont la matérialité et l’étendue ressortent des pièces produites par la commune, le maire a pris une mesure proportionnée aux nécessités du maintien de l’ordre public en interdisant aux personnes se livrant à la prostitution de stationner ou de se livrer à des allées et venues sur la voie publique, de jour comme de nuit, dans un périmètre défini (CAA Bordeaux, 21 juin 2018, </w:t>
      </w:r>
    </w:p>
    <w:p>
      <w:pPr/>
      <w:r>
        <w:rPr>
          <w:i w:val="1"/>
          <w:iCs w:val="1"/>
        </w:rPr>
        <w:t xml:space="preserve">commune d’Albi</w:t>
      </w:r>
    </w:p>
    <w:p>
      <w:pPr/>
      <w:r>
        <w:rPr/>
        <w:t xml:space="preserve">, n° 16BX02889).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2026-10-01T09:01:44+02:00</dcterms:created>
  <dcterms:modified xsi:type="dcterms:W3CDTF">2026-10-01T09:01:44+02:00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