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Garantie des vices cachés. Application aux marchés publics de fournitures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</w:p>
    <w:p>
      <w:pPr/>
      <w:r>
        <w:rPr/>
        <w:t xml:space="preserve">Les règles résultant des articles 1641 à 1649 du code civil relatifs à la garantie des vices cachés sont applicables à un marché public de fourniture.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La prescription prévue par l'article L 110-4 du code de commerce n'est pas applicable aux obligations nées à l'occasion de marchés publics, notamment dans le cadre d'une action en garantie des vices cachées de l'article 1648 du code civil (CE, 7 juin 2018, </w:t>
      </w:r>
    </w:p>
    <w:p>
      <w:pPr/>
      <w:r>
        <w:rPr>
          <w:i w:val="1"/>
          <w:iCs w:val="1"/>
        </w:rPr>
        <w:t xml:space="preserve">syndicat mixte des transports pour le Rhône et l'agglomération lyonnaise</w:t>
      </w:r>
    </w:p>
    <w:p>
      <w:pPr/>
      <w:r>
        <w:rPr/>
        <w:t xml:space="preserve">, n° 416535).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2026-08-15T18:13:04+02:00</dcterms:created>
  <dcterms:modified xsi:type="dcterms:W3CDTF">2026-08-15T18:13:04+02:00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