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HT. Détermination de la valeur du marché</w:t>
      </w:r>
    </w:p>
    <w:p>
      <w:pPr>
        <w:pStyle w:val="Heading2"/>
      </w:pPr>
      <w:r>
        <w:rPr/>
        <w:t xml:space="preserve">Revue - Marchés Publics</w:t>
      </w:r>
    </w:p>
    <w:p>
      <w:pPr>
        <w:pStyle w:val="Heading3"/>
      </w:pPr>
      <w:r>
        <w:rPr/>
        <w:t xml:space="preserve">Source - JO AN - JO Sénat</w:t>
      </w:r>
    </w:p>
    <w:p/>
    <w:p>
      <w:pPr/>
      <w:r>
        <w:rPr>
          <w:sz w:val="18"/>
          <w:szCs w:val="18"/>
          <w:b w:val="1"/>
          <w:bCs w:val="1"/>
        </w:rPr>
        <w:t xml:space="preserve">1.</w:t>
      </w:r>
    </w:p>
    <w:p>
      <w:pPr/>
      <w:r>
        <w:rPr/>
        <w:t xml:space="preserve"> Les marchés publics répondant à un besoin dont la valeur estimée est inférieure à 25 000 € HT peuvent être négociés sans publicité ni mise en concurrence préalables (art. 30 du décret n° 2016-360 du 25 mars 2016). Le besoin ne doit pas être scindé de façon artificielle dans le but de bénéficier de règles de passation allégées, sous peine d'entacher la procédure d'attribution d'illégalité. </w:t>
      </w:r>
    </w:p>
    <w:p>
      <w:pPr/>
      <w:r>
        <w:rPr>
          <w:b w:val="1"/>
          <w:bCs w:val="1"/>
        </w:rPr>
        <w:t xml:space="preserve">2.</w:t>
      </w:r>
    </w:p>
    <w:p>
      <w:pPr/>
      <w:r>
        <w:rPr/>
        <w:t xml:space="preserve"> La valeur estimée du besoin doit tout d'abord être calculée sur la base du montant total hors taxe du ou des marchés publics envisagés, en tenant compte des options et reconductions éventuelles (art. 20 du décret n° 2016-360). La valeur estimée du besoin doit par ailleurs être déterminée conformément à l'article 21 du décret n° 2016-360 et diffère selon qu'il s'agit d'un marché public de travaux ou d'un marché public de services et de fournitures : - en matière de travaux, l'acheteur doit prendre en compte la valeur globale des travaux se rapportant à une même opération (qui peut porter sur plusieurs ouvrages), à laquelle doit être ajoutée la valeur estimée des fournitures et des services nécessaires à leur réalisation que l'acheteur met à la disposition des titulaires et ce, quels que soient le nombre d'opérateurs économiques auquel il est fait appel et le nombre de marchés publics à passer ;</w:t>
      </w:r>
    </w:p>
    <w:p/>
    <w:p>
      <w:pPr/>
      <w:r>
        <w:rPr/>
        <w:t xml:space="preserve">- en matière de fournitures et de services, l'acheteur doit prendre en compte la valeur totale des fournitures ou services susceptibles d'être regardés comme homogènes soit en raison de leurs caractéristiques propres, soit parce qu'ils constituent une unité fonctionnelle.  </w:t>
      </w:r>
    </w:p>
    <w:p>
      <w:pPr/>
      <w:r>
        <w:rPr>
          <w:b w:val="1"/>
          <w:bCs w:val="1"/>
        </w:rPr>
        <w:t xml:space="preserve">3.</w:t>
      </w:r>
    </w:p>
    <w:p>
      <w:pPr/>
      <w:r>
        <w:rPr/>
        <w:t xml:space="preserve"> En cas de besoin ponctuel, la valeur à prendre en considération est celle de l'ensemble des fournitures et services regardés comme homogènes qui ont vocation à être commandés dans le cadre d'un ou de plusieurs contrats en tenant compte de la durée totale de ceux-ci. En cas de besoin régulier, la valeur estimée du besoin doit être calculée de la même manière à la différence près que ce calcul s'effectue nécessairement à partir d'un décompte annuel. Ainsi, quand bien même son ou ses marchés publics seraient d'une durée inférieure à 1 an, l'acheteur doit prendre en compte la valeur des fournitures et services regardés comme homogènes qui ont vocation à être commandés sur une période minimale d'un an pour déterminer la procédure applicable. Pour les marchés supérieurs à 1 an, cette base annuelle est à multiplier par le nombre d'exercices budgétaires ou de 12 mois couverts par le marché public (</w:t>
      </w:r>
    </w:p>
    <w:p>
      <w:pPr/>
      <w:r>
        <w:rPr>
          <w:i w:val="1"/>
          <w:iCs w:val="1"/>
        </w:rPr>
        <w:t xml:space="preserve">JO</w:t>
      </w:r>
    </w:p>
    <w:p>
      <w:pPr/>
      <w:r>
        <w:rPr/>
        <w:t xml:space="preserve"> AN, 24.04.2018, question n° 6870, p. 3539).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2025-12-17T15:23:02+01:00</dcterms:created>
  <dcterms:modified xsi:type="dcterms:W3CDTF">2025-12-17T15:23:02+01:00</dcterms:modified>
</cp:coreProperties>
</file>

<file path=docProps/custom.xml><?xml version="1.0" encoding="utf-8"?>
<Properties xmlns="http://schemas.openxmlformats.org/officeDocument/2006/custom-properties" xmlns:vt="http://schemas.openxmlformats.org/officeDocument/2006/docPropsVTypes"/>
</file>