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Signature électronique</w:t>
      </w:r>
    </w:p>
    <w:p>
      <w:pPr>
        <w:pStyle w:val="Heading2"/>
      </w:pPr>
      <w:r>
        <w:rPr/>
        <w:t xml:space="preserve">Revue - Marchés Publics</w:t>
      </w:r>
    </w:p>
    <w:p>
      <w:pPr>
        <w:pStyle w:val="Heading3"/>
      </w:pPr>
      <w:r>
        <w:rPr/>
        <w:t xml:space="preserve">Source - JO</w:t>
      </w:r>
    </w:p>
    <w:p/>
    <w:p>
      <w:pPr/>
      <w:r>
        <w:rPr/>
        <w:t xml:space="preserve"> Un arrêté du 12 avril 2018 définit les modalités d'utilisation de la signature électronique et du certificat qualifié nécessaire pour que le signataire d'un marché public puisse être considéré comme ayant valablement donné son consentement. La signature doit être une signature « avancée » reposant sur un certificat qualifié, tel que défini par le règlement européen du 23 juillet 2014 sur l'identification électronique et les services de confiance pour les transactions électroniques. Elle peut être une signature « qualifiée » au sens du même règlement. Il prend en considération la transition entre l'application du référentiel général de sécurité et l'application du règlement eIDAS.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2026-04-01T06:19:44+02:00</dcterms:created>
  <dcterms:modified xsi:type="dcterms:W3CDTF">2026-04-01T06:19:44+02:00</dcterms:modified>
</cp:coreProperties>
</file>

<file path=docProps/custom.xml><?xml version="1.0" encoding="utf-8"?>
<Properties xmlns="http://schemas.openxmlformats.org/officeDocument/2006/custom-properties" xmlns:vt="http://schemas.openxmlformats.org/officeDocument/2006/docPropsVTypes"/>
</file>