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Chemins ruraux. Mur de soutènement. Entretien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Les chemins ruraux font l'objet d'un régime particulier (art. L 161-1 à L 161-13 et D 161-1 à R 161-29 du code rural et de la pêche maritime). L'article D 161-19 de code prévoit que « les propriétaires de terrains supérieurs ou inférieurs bordant les chemins ruraux sont tenus d'entretenir en bon état les ouvrages construits à leurs frais par eux ou pour leur compte et destinés à soutenir les terres ». Tel est par exemple le cas d'un mur de soutènement appartenant à un propriétaire privé et bordant un chemin rural, dont l'objet est de maintenir l'assiette de ce chemin. Le propriétaire du mur de soutènement a donc l'obligation de l'entretenir (</w:t>
      </w:r>
    </w:p>
    <w:p>
      <w:pPr/>
      <w:r>
        <w:rPr>
          <w:i w:val="1"/>
          <w:iCs w:val="1"/>
        </w:rPr>
        <w:t xml:space="preserve">JO</w:t>
      </w:r>
    </w:p>
    <w:p>
      <w:pPr/>
      <w:r>
        <w:rPr/>
        <w:t xml:space="preserve"> Sénat, 15.02.2018, question n° 01530, p. 677).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2026-10-01T07:14:19+02:00</dcterms:created>
  <dcterms:modified xsi:type="dcterms:W3CDTF">2026-10-01T07:14:19+02:00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