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Actualisation annuelle des tarifs pour le mètre carré de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Conformément aux 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dispositions de </w:t>
      </w:r>
    </w:p>
    <w:p>
      <w:pPr/>
      <w:hyperlink r:id="rId7" w:history="1">
        <w:r>
          <w:rPr/>
          <w:t xml:space="preserve">l'article L 331-11</w:t>
        </w:r>
      </w:hyperlink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du code de l'urbanisme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, les valeurs au m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2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de surface de construction, constituant l'assiette de la taxe d'aménagement perçue à l'occasion de la construction, de la reconstruction sont actualisées au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de chaque année, en fonction du dernier indice du coût de la construction connu à cette date, et arrondies à l'euro inférieur. Les tarifs par mètre carré de construction s'élèvent, pour la période du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2018 au 31 décembre 2018, aux valeurs suivantes :</w:t>
      </w:r>
    </w:p>
    <w:p>
      <w:pPr>
        <w:jc w:val="both"/>
        <w:spacing w:after="0" w:line="240" w:lineRule="auto"/>
      </w:pPr>
      <w:r>
        <w:rPr>
          <w:rFonts w:ascii="&quot;Arial&quot;" w:hAnsi="&quot;Arial&quot;" w:eastAsia="&quot;Arial&quot;" w:cs="&quot;Arial&quot;"/>
          <w:sz w:val="20"/>
          <w:szCs w:val="20"/>
        </w:rPr>
        <w:t xml:space="preserve"> </w:t>
      </w:r>
    </w:p>
    <w:tbl>
      <w:tblGrid>
        <w:gridCol w:w="300" w:type="dxa"/>
        <w:gridCol w:w="300" w:type="dxa"/>
        <w:gridCol w:w="300" w:type="dxa"/>
        <w:gridCol w:w="30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Hors Ile-de-France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Rappel de la valeur 2011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660 €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748 €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1 517</w:t>
            </w:r>
          </w:p>
        </w:tc>
      </w:tr>
      <w:tr>
        <w:trPr>
          <w:trHeight w:val="354" w:hRule="exact"/>
        </w:trPr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Valeur 2018 </w:t>
            </w: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(arrondie à l'euro inférieur)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726 €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823 €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1670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2026-02-14T06:22:30+01:00</dcterms:created>
  <dcterms:modified xsi:type="dcterms:W3CDTF">2026-02-14T06:22:30+01:00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