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Domanialité publique d'une impasse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L'article L 2111-14 du code général de la propriété des personnes publiques (CG3P) définit le domaine public routier comme « l'ensemble des biens appartenant à une personne publique mentionnée à l'article L 1 et affectés aux besoins de la circulation terrestre, à l'exception des voies ferrées ». Ainsi, pour qu'une voie appartienne au domaine public routier, deux conditions cumulatives sont exigées : la voie doit être la propriété d'une personne publique mentionnée à l'article L 1 du CG3P et elle doit être ouverte à la circulation générale ou publique (ces deux conditions s'appliquent à une impasse bien évidemment). La condition relative à l'ouverture de la voie à la circulation générale ou publique est examinée au cas par cas. Ainsi, le juge administratif, saisi dans le cadre d'un contentieux, s'attache à rechercher si la voie est ouverte ou non à la circulation générale. Il s'appuie notamment sur les caractéristiques techniques de la voie (largeur, connexions à d'autres voies, utilisation exclusive ou non des riverains). Par exemple, une voie qui, du fait de sa largeur, ne permet pas de faire demi-tour, ne sera pas considérée comme étant ouverte à la circulation générale (CAA Paris, 20 septembre 2007, n° 04PA00379). De même, une voie en impasse non goudronnée et comportant de nombreuses ornières ne peut être considérée comme étant ouverte à la circulation générale et en état de viabilité au sens du règlement du plan d'occupation des sols (CAA Paris, 23 novembre 2006, </w:t>
      </w:r>
    </w:p>
    <w:p>
      <w:pPr/>
      <w:hyperlink r:id="rId7" w:history="1">
        <w:r>
          <w:rPr>
            <w:i w:val="1"/>
            <w:iCs w:val="1"/>
          </w:rPr>
          <w:t xml:space="preserve">commune de Montry</w:t>
        </w:r>
      </w:hyperlink>
    </w:p>
    <w:p>
      <w:pPr/>
      <w:r>
        <w:rPr/>
        <w:t xml:space="preserve">, n° 03PA01606). Ainsi, il convient d'examiner les caractéristiques propres de la voie pour en déterminer sa domanialité (</w:t>
      </w:r>
    </w:p>
    <w:p>
      <w:pPr/>
      <w:r>
        <w:rPr>
          <w:i w:val="1"/>
          <w:iCs w:val="1"/>
        </w:rPr>
        <w:t xml:space="preserve">JO</w:t>
      </w:r>
    </w:p>
    <w:p>
      <w:pPr/>
      <w:r>
        <w:rPr/>
        <w:t xml:space="preserve"> Sénat, 04.01.2018, question n° 01914, p. 46).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JuriAdmin.do?oldAction=rechJuriAdmin&amp;idTexte=CETATEXT000007452432&amp;fastReqId=416747633&amp;fastPos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2026-10-01T06:19:50+02:00</dcterms:created>
  <dcterms:modified xsi:type="dcterms:W3CDTF">2026-10-01T06:19:50+02:00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