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Domanialité publique d'une impasse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2111-14 du code général de la propriété des personnes publiques (CG3P) définit le domaine public routier comme « l'ensemble des biens appartenant à une personne publique mentionnée à l'article L 1 et affectés aux besoins de la circulation terrestre, à l'exception des voies ferrées ». Ainsi, pour qu'une voie appartienne au domaine public routier, deux conditions cumulatives sont exigées : la voie doit être la propriété d'une personne publique mentionnée à l'article L 1 du CG3P et elle doit être ouverte à la circulation générale ou publique (ces deux conditions s'appliquent à une impasse bien évidemment). La condition relative à l'ouverture de la voie à la circulation générale ou publique est examinée au cas par cas. Ainsi, le juge administratif, saisi dans le cadre d'un contentieux, s'attache à rechercher si la voie est ouverte ou non à la circulation générale. Il s'appuie notamment sur les caractéristiques techniques de la voie (largeur, connexions à d'autres voies, utilisation exclusive ou non des riverains). Par exemple, une voie qui, du fait de sa largeur, ne permet pas de faire demi-tour, ne sera pas considérée comme étant ouverte à la circulation générale (CAA Paris, 20 septembre 2007, n° 04PA00379). De même, une voie en impasse non goudronnée et comportant de nombreuses ornières ne peut être considérée comme étant ouverte à la circulation générale et en état de viabilité au sens du règlement du plan d'occupation des sols (CAA Paris, 23 novembre 2006, </w:t>
      </w:r>
    </w:p>
    <w:p>
      <w:pPr/>
      <w:hyperlink r:id="rId7" w:history="1">
        <w:r>
          <w:rPr>
            <w:i w:val="1"/>
            <w:iCs w:val="1"/>
          </w:rPr>
          <w:t xml:space="preserve">commune de Montry</w:t>
        </w:r>
      </w:hyperlink>
    </w:p>
    <w:p>
      <w:pPr/>
      <w:r>
        <w:rPr/>
        <w:t xml:space="preserve">, n° 03PA01606). Ainsi, il convient d'examiner les caractéristiques propres de la voie pour en déterminer sa domanialité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04.01.2018, question n° 01914, p. 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7452432&amp;fastReqId=41674763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2025-12-17T11:56:24+01:00</dcterms:created>
  <dcterms:modified xsi:type="dcterms:W3CDTF">2025-12-17T11:56:24+01:00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