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livret de famille</w:t>
      </w:r>
    </w:p>
    <w:p>
      <w:pPr>
        <w:pStyle w:val="Heading2"/>
      </w:pPr>
      <w:r>
        <w:rPr/>
        <w:t xml:space="preserve">Revue - Etat Civil</w:t>
      </w:r>
    </w:p>
    <w:p>
      <w:pPr>
        <w:pStyle w:val="Heading3"/>
      </w:pPr>
      <w:r>
        <w:rPr/>
        <w:t xml:space="preserve">Source - Lois et décrets</w:t>
      </w:r>
    </w:p>
    <w:p/>
    <w:p>
      <w:pPr/>
      <w:r>
        <w:rPr/>
        <w:t xml:space="preserve"> Un arrêté du 14 décembre 2017 concerne le livret de famille. Il précise qu'il peut être délivré un second livret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 acte de divorce par consentement mutuel sous signature privée contresigné par avocats, déposé au rang des minutes d'un notaire mais aussi toutes les fois que le demandeur invoque un intérêt à disposer d'un livret de famille : mésentente entre les époux, séparation de fait (etc.). Le demandeur doit s'adresser à l'officier de l'état civil du lieu de sa résidence.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2025-12-17T11:55:00+01:00</dcterms:created>
  <dcterms:modified xsi:type="dcterms:W3CDTF">2025-12-17T11:55:00+01:00</dcterms:modified>
</cp:coreProperties>
</file>

<file path=docProps/custom.xml><?xml version="1.0" encoding="utf-8"?>
<Properties xmlns="http://schemas.openxmlformats.org/officeDocument/2006/custom-properties" xmlns:vt="http://schemas.openxmlformats.org/officeDocument/2006/docPropsVTypes"/>
</file>