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d’EPCI entre deux renouvellements des conseils municipaux. Limite de 10 % pour la création de sièges supplémentaires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l'article L 5211-6-2 du CGCT, en cas de fusion de plusieurs EPCI (dont l'un au moins est à fiscalité propre) entre deux renouvellements généraux des conseils municipaux, il est procédé à la détermination du nombre et à la répartition des sièges de conseiller communautaire dans les conditions prévues à l'article L 5211-6-1 du même code.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des V et VI de l'article L 5211-6-1 du CGCT, qui prévoient les conditions dans lesquelles doit être attribué, ou peut être créé par les communes, un nombre de sièges supplémentaires correspondant à 10 % du nombre total de sièges, que le législateur a entendu que ce pourcentage de 10 % constitue la limite maximale du nombre de sièges à attribuer en complément des sièges déjà répartis. Par suite, le nombre correspondant à 10 % des sièges déjà répartis est arrondi à l'entier inférieur.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Le V de l'article L 5211-6-1 du CGCT a pour objet d'améliorer la représentation démographique des communes membres de l'EPCI, lorsqu'un grand nombre de sièges a été créé pour assurer la représentation des communes les moins peuplées. Par suite, il y a lieu, pour son application, de procéder à une répartition entre communes, à la représentation proportionnelle à la plus forte moyenne, en prenant en considération tant les sièges attribués au titre du 1° du IV du même article que ceux attribués au titre du V, et non en procédant à deux répartitions distinctes. Le préfet fait une exacte application de ces dispositions en répartissant les sièges créés en application du V à la représentation proportionnelle à la plus forte moyenne en tenant compte, pour le calcul du quotient électoral et de la plus forte moyenne, des sièges répartis en application du 1° du IV (CE, 15 novembre 2017, </w:t>
      </w:r>
    </w:p>
    <w:p>
      <w:pPr/>
      <w:r>
        <w:rPr>
          <w:i w:val="1"/>
          <w:iCs w:val="1"/>
        </w:rPr>
        <w:t xml:space="preserve">M. G.</w:t>
      </w:r>
    </w:p>
    <w:p>
      <w:pPr/>
      <w:r>
        <w:rPr/>
        <w:t xml:space="preserve">, n° 410338).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2026-07-01T03:01:36+02:00</dcterms:created>
  <dcterms:modified xsi:type="dcterms:W3CDTF">2026-07-01T03:01:36+02:00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