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Bâtiment détruit par un sinistre. Reconstruction à l’identique. Exception : réglementation locale d'urbanisme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Il résulte de l'article L 111-3 du code de l'urbanisme que, dès lors qu'un bâtiment a été régulièrement construit, seules des dispositions expresses de la réglementation locale d'urbanisme prévoyant l'interdiction de la reconstruction à l'identique de bâtiments détruits par sinistre ou démolis peuvent faire légalement obstacle à sa reconstruction (CE, 8 novembre 2017, </w:t>
      </w:r>
    </w:p>
    <w:p>
      <w:pPr/>
      <w:r>
        <w:rPr>
          <w:rFonts w:ascii="Arial" w:hAnsi="Arial" w:eastAsia="Arial" w:cs="Arial"/>
          <w:sz w:val="19.219199999999997"/>
          <w:szCs w:val="19.219199999999997"/>
          <w:i w:val="1"/>
          <w:iCs w:val="1"/>
        </w:rPr>
        <w:t xml:space="preserve">société Battos</w:t>
      </w:r>
    </w:p>
    <w:p>
      <w:pPr/>
      <w:r>
        <w:rPr>
          <w:rFonts w:ascii="Arial" w:hAnsi="Arial" w:eastAsia="Arial" w:cs="Arial"/>
          <w:sz w:val="19.219199999999997"/>
          <w:szCs w:val="19.219199999999997"/>
        </w:rPr>
        <w:t xml:space="preserve">, </w:t>
      </w:r>
    </w:p>
    <w:p>
      <w:pPr/>
      <w:r>
        <w:rPr/>
        <w:t xml:space="preserve">n° 403599).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2026-10-01T04:27:43+02:00</dcterms:created>
  <dcterms:modified xsi:type="dcterms:W3CDTF">2026-10-01T04:27:43+02:00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