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Bâtiment détruit par un sinistre. Reconstruction à l’identique. Exception : réglementation locale d'urbanisme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 l'article L 111-3 du code de l'urbanisme que, dès lors qu'un bâtiment a été régulièrement construit, seules des dispositions expresses de la réglementation locale d'urbanisme prévoyant l'interdiction de la reconstruction à l'identique de bâtiments détruits par sinistre ou démolis peuvent faire légalement obstacle à sa reconstruction (CE, 8 novembre 2017, </w:t>
      </w:r>
    </w:p>
    <w:p>
      <w:pPr/>
      <w:r>
        <w:rPr>
          <w:rFonts w:ascii="Arial" w:hAnsi="Arial" w:eastAsia="Arial" w:cs="Arial"/>
          <w:sz w:val="19.219199999999997"/>
          <w:szCs w:val="19.219199999999997"/>
          <w:i w:val="1"/>
          <w:iCs w:val="1"/>
        </w:rPr>
        <w:t xml:space="preserve">société Battos</w:t>
      </w:r>
    </w:p>
    <w:p>
      <w:pPr/>
      <w:r>
        <w:rPr>
          <w:rFonts w:ascii="Arial" w:hAnsi="Arial" w:eastAsia="Arial" w:cs="Arial"/>
          <w:sz w:val="19.219199999999997"/>
          <w:szCs w:val="19.219199999999997"/>
        </w:rPr>
        <w:t xml:space="preserve">, </w:t>
      </w:r>
    </w:p>
    <w:p>
      <w:pPr/>
      <w:r>
        <w:rPr/>
        <w:t xml:space="preserve">n° 403599).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2026-08-16T19:26:56+02:00</dcterms:created>
  <dcterms:modified xsi:type="dcterms:W3CDTF">2026-08-16T19:26:56+02:00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