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Absence sans autorisation. Retenue sur traitement. Compétence liée de l'administration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L’administration a compétence liée pour procéder à une retenue sur traitement, à due proportion, en l'absence de service fait (CAA Versailles, 6 juillet 2017, </w:t>
      </w:r>
    </w:p>
    <w:p>
      <w:pPr/>
      <w:r>
        <w:rPr>
          <w:i w:val="1"/>
          <w:iCs w:val="1"/>
        </w:rPr>
        <w:t xml:space="preserve">M. D.</w:t>
      </w:r>
    </w:p>
    <w:p>
      <w:pPr/>
      <w:r>
        <w:rPr/>
        <w:t xml:space="preserve">, n° 15VE01108).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2026-10-01T06:20:04+02:00</dcterms:created>
  <dcterms:modified xsi:type="dcterms:W3CDTF">2026-10-01T06:20:04+02:00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