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Données à caractère personnel. Communication à un ayant droit (oui sous conditions)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Il résulte des dispositions des articles 2 et 39 de la loi n° 78-17 du 6 janvier 1978 relative à l'informatique, aux fichiers et aux libertés, que la communication de données à caractère personnel n'est possible qu'à la personne concernée par ces données. Par suite, la seule qualité d'ayant droit d'une personne à laquelle se rapportent des données ne confère pas la qualité de « personne concernée » par leur traitement au sens de ces dispositions. Toutefois, lorsque la victime d'un dommage décède, son droit à la réparation de ce dommage, entré dans son patrimoine, est transmis à ses héritiers, saisis de plein droit des biens, droits et actions du défunt en application du premier alinéa de l'article 724 du code civil. Par suite, lorsque la victime a engagé une action en réparation avant son décès ou lorsque ses héritiers ont ultérieurement eux-mêmes engagé une telle action, ces derniers doivent être regardés comme des « personnes concernées » au sens des articles 2 et 39 de la loi du 6 janvier 1978 pour l'exercice de leur droit d'accès aux données à caractère personnel concernant le défunt, dans la mesure nécessaire à l'établissement du préjudice que ce dernier a subi en vue de sa réparation et pour les seuls besoins de l'instance engagée (CE, 7 juin 2017, </w:t>
      </w:r>
    </w:p>
    <w:p>
      <w:pPr/>
      <w:r>
        <w:rPr>
          <w:i w:val="1"/>
          <w:iCs w:val="1"/>
        </w:rPr>
        <w:t xml:space="preserve">M. B.</w:t>
      </w:r>
    </w:p>
    <w:p>
      <w:pPr/>
      <w:r>
        <w:rPr/>
        <w:t xml:space="preserve">, n° 399446).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2026-10-01T16:58:11+02:00</dcterms:created>
  <dcterms:modified xsi:type="dcterms:W3CDTF">2026-10-01T16:58:11+02:00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