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Sous-traitance. Paiement direct. Contrôle des travaux par le maître d'ouvrage</w:t>
      </w:r>
    </w:p>
    <w:p>
      <w:pPr>
        <w:pStyle w:val="Heading2"/>
      </w:pPr>
      <w:r>
        <w:rPr/>
        <w:t xml:space="preserve">Revue - Marchés Publics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 Dans l'hypothèse d'une rémunération directe du sous-traitant par le maître d'ouvrage, ce dernier peut contrôler l'exécution effective des travaux sous-traités et le montant de la créance du sous-traitant afin de s'assurer que la consistance des travaux correspond à ce qui est prévu par le marché (CE, 09.06.2017, </w:t>
      </w:r>
    </w:p>
    <w:p>
      <w:pPr/>
      <w:r>
        <w:rPr>
          <w:i w:val="1"/>
          <w:iCs w:val="1"/>
        </w:rPr>
        <w:t xml:space="preserve">société Keller Fondations Spéciales</w:t>
      </w:r>
    </w:p>
    <w:p>
      <w:pPr/>
      <w:r>
        <w:rPr/>
        <w:t xml:space="preserve">, n° 396358). 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2026-10-01T08:58:21+02:00</dcterms:created>
  <dcterms:modified xsi:type="dcterms:W3CDTF">2026-10-01T08:58:21+02:00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