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Consultation des électeurs. Référendum local (non)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Ne constitue pas un référendum local, au sens de l'article LO 1112-1 du CGCT, le scrutin organisé par une commune appelant les électeurs à « prendre part à un référendum sur le projet d'implantation d'une aire de grand passage », aucun projet de délibération ou d'acte relevant de la compétence de la commune ou du maire n'ayant été soumis à l'approbation des électeurs (CAA Versailles, 15 décembre 2016, </w:t>
      </w:r>
    </w:p>
    <w:p>
      <w:pPr/>
      <w:r>
        <w:rPr>
          <w:i w:val="1"/>
          <w:iCs w:val="1"/>
        </w:rPr>
        <w:t xml:space="preserve">commune des Essarts-le-Roi</w:t>
      </w:r>
    </w:p>
    <w:p>
      <w:pPr/>
      <w:r>
        <w:rPr/>
        <w:t xml:space="preserve">, n° 15VE02366).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2026-07-02T03:57:16+02:00</dcterms:created>
  <dcterms:modified xsi:type="dcterms:W3CDTF">2026-07-02T03:57:16+02:00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