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Consultation des électeurs. Référendum local (non)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Ne constitue pas un référendum local, au sens de l'article LO 1112-1 du CGCT, le scrutin organisé par une commune appelant les électeurs à « prendre part à un référendum sur le projet d'implantation d'une aire de grand passage », aucun projet de délibération ou d'acte relevant de la compétence de la commune ou du maire n'ayant été soumis à l'approbation des électeurs (CAA Versailles, 15 décembre 2016, </w:t>
      </w:r>
    </w:p>
    <w:p>
      <w:pPr/>
      <w:r>
        <w:rPr>
          <w:i w:val="1"/>
          <w:iCs w:val="1"/>
        </w:rPr>
        <w:t xml:space="preserve">commune des Essarts-le-Roi</w:t>
      </w:r>
    </w:p>
    <w:p>
      <w:pPr/>
      <w:r>
        <w:rPr/>
        <w:t xml:space="preserve">, n° 15VE02366).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2026-09-30T10:57:50+02:00</dcterms:created>
  <dcterms:modified xsi:type="dcterms:W3CDTF">2026-09-30T10:57:50+02:00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